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85"/>
        <w:gridCol w:w="3480"/>
        <w:gridCol w:w="990"/>
        <w:gridCol w:w="142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34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06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hint="eastAsia" w:ascii="Times New Roman" w:hAnsi="宋体" w:cs="Times New Roman"/>
                <w:sz w:val="24"/>
              </w:rPr>
              <w:t>年耕地质量保护提升示范项目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合计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b/>
                <w:bCs/>
                <w:szCs w:val="21"/>
              </w:rPr>
              <w:t>总金额大写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9" w:hRule="atLeast"/>
        </w:trPr>
        <w:tc>
          <w:tcPr>
            <w:tcW w:w="54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cs="Times New Roman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ind w:firstLine="1280" w:firstLineChars="4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cs="Times New Roman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hint="eastAsia" w:asci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/>
    <w:p>
      <w:pPr>
        <w:spacing w:line="360" w:lineRule="exact"/>
        <w:ind w:firstLine="420" w:firstLineChars="200"/>
      </w:pPr>
      <w:r>
        <w:rPr>
          <w:rFonts w:hint="eastAsia"/>
        </w:rPr>
        <w:t>注：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cs="Times New Roman"/>
        </w:rPr>
        <w:t>此次报价为一次性报价，报价后不得更改，如有更改按报价无效处理。报价总金额（大写与小写不一致）、单价错误，以大写为准，如大写错误按报价无效处理。</w:t>
      </w:r>
    </w:p>
    <w:p>
      <w:pPr>
        <w:pStyle w:val="12"/>
        <w:snapToGrid w:val="0"/>
        <w:spacing w:line="360" w:lineRule="auto"/>
        <w:ind w:firstLine="420" w:firstLineChars="200"/>
        <w:textAlignment w:val="auto"/>
        <w:outlineLvl w:val="2"/>
        <w:rPr>
          <w:rFonts w:hint="eastAsia" w:hAnsi="宋体" w:cs="宋体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仿宋" w:hAnsi="仿宋" w:eastAsia="仿宋" w:cs="仿宋"/>
          <w:sz w:val="24"/>
        </w:rPr>
        <w:t>2、</w:t>
      </w:r>
      <w:r>
        <w:rPr>
          <w:rFonts w:hint="eastAsia" w:hAnsi="宋体" w:cs="宋体"/>
          <w:b/>
          <w:spacing w:val="10"/>
          <w:sz w:val="24"/>
          <w:szCs w:val="24"/>
        </w:rPr>
        <w:t>供应商资格要求</w:t>
      </w:r>
    </w:p>
    <w:p>
      <w:pPr>
        <w:pStyle w:val="12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满足《中华人民共和国政府采购法》第二十二条规定：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具有独立承担民事责任的能力；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具有良好的商业信誉和健全的财务会计制度；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具有履行合同所必需的设备和专业技术能力；</w:t>
      </w:r>
    </w:p>
    <w:p>
      <w:pPr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具有依法缴纳税收和社会保障资金的良好记录；</w:t>
      </w:r>
    </w:p>
    <w:p>
      <w:pPr>
        <w:ind w:firstLine="42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参加此项采购活动前三年内，在经营活动中没有重大违法记录；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报价单必须盖有报价单位公章，电话、姓名、公章（签字）。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营业执照等证明文件</w:t>
      </w:r>
      <w:r>
        <w:rPr>
          <w:rFonts w:hint="eastAsia" w:ascii="仿宋" w:hAnsi="仿宋" w:eastAsia="仿宋" w:cs="仿宋"/>
          <w:b/>
          <w:bCs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（1）根据供应商企业性质提供相应证明文件。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（2）供应商是自然人的，应提供有效的自然人身份证。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（3）分支机构参加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的，应提供该分支机构或其所属法人/其他组织的相应证明文件。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供应商资格承诺函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提供了符合</w:t>
      </w:r>
      <w:r>
        <w:rPr>
          <w:rFonts w:hint="eastAsia" w:ascii="仿宋" w:hAnsi="仿宋" w:eastAsia="仿宋" w:cs="仿宋"/>
          <w:sz w:val="24"/>
          <w:lang w:eastAsia="zh-CN"/>
        </w:rPr>
        <w:t>报名</w:t>
      </w:r>
      <w:r>
        <w:rPr>
          <w:rFonts w:hint="eastAsia" w:ascii="仿宋" w:hAnsi="仿宋" w:eastAsia="仿宋" w:cs="仿宋"/>
          <w:sz w:val="24"/>
        </w:rPr>
        <w:t>文件要求的《供应商资格承诺函》。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信用记录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（1）供应商未被列入失信被执行人、重大税收违法失信主体、政府采购严重违法失信行为记录名单（信用中国）。</w:t>
      </w:r>
    </w:p>
    <w:p>
      <w:pPr>
        <w:spacing w:line="360" w:lineRule="exact"/>
        <w:ind w:firstLine="420" w:firstLineChars="200"/>
        <w:rPr>
          <w:rFonts w:ascii="Times New Roman" w:cs="Times New Roman"/>
        </w:rPr>
      </w:pPr>
      <w:bookmarkStart w:id="8" w:name="_GoBack"/>
      <w:bookmarkEnd w:id="8"/>
      <w:r>
        <w:rPr>
          <w:rFonts w:ascii="Times New Roman" w:cs="Times New Roman"/>
        </w:rPr>
        <w:t>3.</w:t>
      </w:r>
      <w:r>
        <w:rPr>
          <w:rFonts w:hint="eastAsia" w:ascii="Times New Roman" w:cs="Times New Roman"/>
        </w:rPr>
        <w:t>项目要求：本次报价总金额不得高于</w:t>
      </w:r>
      <w:r>
        <w:rPr>
          <w:rFonts w:ascii="Times New Roman" w:cs="Times New Roman"/>
        </w:rPr>
        <w:t>50000</w:t>
      </w:r>
      <w:r>
        <w:rPr>
          <w:rFonts w:hint="eastAsia" w:ascii="Times New Roman" w:cs="Times New Roman"/>
        </w:rPr>
        <w:t>元，高于视为无效。不符合采购需求、质量和服务的按无效处理。本次采购报价低者为服务（供货）单位。具体详见邢台市</w:t>
      </w:r>
      <w:r>
        <w:rPr>
          <w:rFonts w:ascii="Times New Roman" w:cs="Times New Roman"/>
        </w:rPr>
        <w:t>2025</w:t>
      </w:r>
      <w:r>
        <w:rPr>
          <w:rFonts w:hint="eastAsia" w:ascii="Times New Roman" w:cs="Times New Roman"/>
        </w:rPr>
        <w:t>年耕地质量保护提升示范项目实施方案。</w:t>
      </w:r>
    </w:p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以上所有材料在资格审查时，有一项不合格，本次报价无效。</w:t>
      </w: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jc w:val="center"/>
        <w:rPr>
          <w:rFonts w:ascii="方正小标宋简体" w:eastAsia="方正小标宋简体" w:cs="??_GB2312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??_GB2312"/>
          <w:kern w:val="0"/>
          <w:sz w:val="44"/>
          <w:szCs w:val="44"/>
        </w:rPr>
        <w:t>邢台市</w:t>
      </w:r>
      <w:r>
        <w:rPr>
          <w:rFonts w:ascii="方正小标宋简体" w:eastAsia="方正小标宋简体" w:cs="??_GB2312"/>
          <w:kern w:val="0"/>
          <w:sz w:val="44"/>
          <w:szCs w:val="44"/>
        </w:rPr>
        <w:t>2025</w:t>
      </w:r>
      <w:r>
        <w:rPr>
          <w:rFonts w:hint="eastAsia" w:ascii="方正小标宋简体" w:eastAsia="方正小标宋简体" w:cs="??_GB2312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耕地质量保护提升示范项目实施方案</w:t>
      </w:r>
    </w:p>
    <w:p>
      <w:pPr>
        <w:spacing w:line="500" w:lineRule="exact"/>
        <w:jc w:val="center"/>
        <w:rPr>
          <w:rFonts w:ascii="方正小标宋简体" w:hAnsi="仿宋" w:eastAsia="方正小标宋简体" w:cs="仿宋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_Toc11353"/>
      <w:bookmarkStart w:id="1" w:name="_Toc26626"/>
      <w:bookmarkStart w:id="2" w:name="_Toc20239"/>
      <w:bookmarkStart w:id="3" w:name="_Toc15941"/>
      <w:r>
        <w:rPr>
          <w:rFonts w:hint="eastAsia" w:ascii="仿宋_GB2312" w:eastAsia="仿宋_GB2312"/>
          <w:sz w:val="32"/>
          <w:szCs w:val="32"/>
        </w:rPr>
        <w:t>河北省财政厅《关于提前下达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年省级耕地建设与利用资金（第三次土壤普查等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个支出方向）的通知》（冀财农〔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134</w:t>
      </w:r>
      <w:r>
        <w:rPr>
          <w:rFonts w:hint="eastAsia" w:ascii="仿宋_GB2312" w:eastAsia="仿宋_GB2312"/>
          <w:sz w:val="32"/>
          <w:szCs w:val="32"/>
        </w:rPr>
        <w:t>号）</w:t>
      </w:r>
      <w:bookmarkEnd w:id="0"/>
      <w:bookmarkEnd w:id="1"/>
      <w:bookmarkEnd w:id="2"/>
      <w:bookmarkEnd w:id="3"/>
      <w:r>
        <w:rPr>
          <w:rFonts w:hint="eastAsia" w:ascii="仿宋_GB2312" w:eastAsia="仿宋_GB2312"/>
          <w:sz w:val="32"/>
          <w:szCs w:val="32"/>
        </w:rPr>
        <w:t>、河北省农业农村厅关于印发《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年中央和省级财政提前下达农业转移支付项目实施方案》的通知（冀农财发〔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号）和《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年省级耕地质量监测与保护提升项目</w:t>
      </w:r>
      <w:bookmarkStart w:id="4" w:name="_Toc13816"/>
      <w:bookmarkStart w:id="5" w:name="_Toc18624"/>
      <w:bookmarkStart w:id="6" w:name="_Toc21719"/>
      <w:bookmarkStart w:id="7" w:name="_Toc21497"/>
      <w:r>
        <w:rPr>
          <w:rFonts w:hint="eastAsia" w:ascii="仿宋_GB2312" w:eastAsia="仿宋_GB2312"/>
          <w:sz w:val="32"/>
          <w:szCs w:val="32"/>
        </w:rPr>
        <w:t>实施方案</w:t>
      </w:r>
      <w:bookmarkEnd w:id="4"/>
      <w:bookmarkEnd w:id="5"/>
      <w:bookmarkEnd w:id="6"/>
      <w:bookmarkEnd w:id="7"/>
      <w:r>
        <w:rPr>
          <w:rFonts w:hint="eastAsia" w:ascii="仿宋_GB2312" w:eastAsia="仿宋_GB2312"/>
          <w:sz w:val="32"/>
          <w:szCs w:val="32"/>
        </w:rPr>
        <w:t>》要求，安排邢台市耕地质量保护提升示范项目资金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万元，开展耕地质量保护提升技术示范，推广耕地质量保护与提升技术，通过技术示范展示退化耕地治理效果，引导广大农民积极投身耕地质量建设中，从而推动耕地质量保护提升工作全面开展。为实现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藏粮于地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战略做出贡献。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二、目标任务</w:t>
      </w:r>
    </w:p>
    <w:p>
      <w:pPr>
        <w:spacing w:line="560" w:lineRule="exact"/>
        <w:ind w:firstLine="640" w:firstLineChars="200"/>
        <w:rPr>
          <w:rFonts w:ascii="仿宋_GB2312" w:eastAsia="仿宋_GB2312" w:cs="??_GB2312"/>
          <w:kern w:val="0"/>
          <w:sz w:val="32"/>
          <w:szCs w:val="32"/>
        </w:rPr>
      </w:pPr>
      <w:r>
        <w:rPr>
          <w:rFonts w:hint="eastAsia" w:ascii="仿宋_GB2312" w:eastAsia="仿宋_GB2312" w:cs="??_GB2312"/>
          <w:kern w:val="0"/>
          <w:sz w:val="32"/>
          <w:szCs w:val="32"/>
        </w:rPr>
        <w:t>示范区建设主要围绕耕地质量提升和治理修复两个方面，针对示范区土壤状况开展集成技术、产品、模式示范。建立</w:t>
      </w:r>
      <w:r>
        <w:rPr>
          <w:rFonts w:hint="eastAsia" w:ascii="仿宋_GB2312" w:hAnsi="Tahoma" w:eastAsia="仿宋_GB2312"/>
          <w:kern w:val="0"/>
          <w:sz w:val="32"/>
          <w:szCs w:val="32"/>
        </w:rPr>
        <w:t>耕地质量保护提升技术集成</w:t>
      </w:r>
      <w:r>
        <w:rPr>
          <w:rFonts w:hint="eastAsia" w:ascii="仿宋_GB2312" w:eastAsia="仿宋_GB2312" w:cs="??_GB2312"/>
          <w:kern w:val="0"/>
          <w:sz w:val="32"/>
          <w:szCs w:val="32"/>
        </w:rPr>
        <w:t>示范区，示范带动面积不少于</w:t>
      </w:r>
      <w:r>
        <w:rPr>
          <w:rFonts w:ascii="仿宋_GB2312" w:eastAsia="仿宋_GB2312" w:cs="??_GB2312"/>
          <w:kern w:val="0"/>
          <w:sz w:val="32"/>
          <w:szCs w:val="32"/>
        </w:rPr>
        <w:t xml:space="preserve">220 </w:t>
      </w:r>
      <w:r>
        <w:rPr>
          <w:rFonts w:hint="eastAsia" w:ascii="仿宋_GB2312" w:eastAsia="仿宋_GB2312" w:cs="??_GB2312"/>
          <w:kern w:val="0"/>
          <w:sz w:val="32"/>
          <w:szCs w:val="32"/>
        </w:rPr>
        <w:t>亩。示范区设立展示标牌，标牌内容包括创建示范区的具体地点、作物、主要土壤障碍因素、集成的主要技术模式、示范效果、创建单位、负责人等。</w:t>
      </w:r>
      <w:r>
        <w:rPr>
          <w:rFonts w:ascii="仿宋_GB2312" w:eastAsia="仿宋_GB2312" w:cs="??_GB2312"/>
          <w:kern w:val="0"/>
          <w:sz w:val="32"/>
          <w:szCs w:val="32"/>
        </w:rPr>
        <w:t>2025</w:t>
      </w:r>
      <w:r>
        <w:rPr>
          <w:rFonts w:hint="eastAsia" w:ascii="仿宋_GB2312" w:eastAsia="仿宋_GB2312" w:cs="??_GB2312"/>
          <w:kern w:val="0"/>
          <w:sz w:val="32"/>
          <w:szCs w:val="32"/>
        </w:rPr>
        <w:t>年</w:t>
      </w:r>
      <w:r>
        <w:rPr>
          <w:rFonts w:ascii="仿宋_GB2312" w:eastAsia="仿宋_GB2312" w:cs="??_GB2312"/>
          <w:kern w:val="0"/>
          <w:sz w:val="32"/>
          <w:szCs w:val="32"/>
        </w:rPr>
        <w:t>12</w:t>
      </w:r>
      <w:r>
        <w:rPr>
          <w:rFonts w:hint="eastAsia" w:ascii="仿宋_GB2312" w:eastAsia="仿宋_GB2312" w:cs="??_GB2312"/>
          <w:kern w:val="0"/>
          <w:sz w:val="32"/>
          <w:szCs w:val="32"/>
        </w:rPr>
        <w:t>月</w:t>
      </w:r>
      <w:r>
        <w:rPr>
          <w:rFonts w:ascii="仿宋_GB2312" w:eastAsia="仿宋_GB2312" w:cs="??_GB2312"/>
          <w:kern w:val="0"/>
          <w:sz w:val="32"/>
          <w:szCs w:val="32"/>
        </w:rPr>
        <w:t>1</w:t>
      </w:r>
      <w:r>
        <w:rPr>
          <w:rFonts w:hint="eastAsia" w:ascii="仿宋_GB2312" w:eastAsia="仿宋_GB2312" w:cs="??_GB2312"/>
          <w:kern w:val="0"/>
          <w:sz w:val="32"/>
          <w:szCs w:val="32"/>
        </w:rPr>
        <w:t>日前完成项目区建设，并提交工作报告、绩效报告、技术报告。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三、技术模式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集成化肥减量及增施有机肥（生物有机肥）技术，</w:t>
      </w:r>
      <w:r>
        <w:rPr>
          <w:rFonts w:hint="eastAsia" w:ascii="仿宋_GB2312" w:eastAsia="仿宋_GB2312"/>
          <w:sz w:val="32"/>
          <w:szCs w:val="32"/>
        </w:rPr>
        <w:t>配合施用有机肥（生物有机肥），以达到降低化肥用量，提升土壤肥力和土壤改良的目的。</w:t>
      </w:r>
      <w:r>
        <w:rPr>
          <w:rFonts w:hint="eastAsia" w:ascii="仿宋_GB2312" w:eastAsia="仿宋_GB2312"/>
          <w:bCs/>
          <w:sz w:val="32"/>
          <w:szCs w:val="32"/>
        </w:rPr>
        <w:t>在化肥减量的基础上，通过增施有机肥（生物有机肥）等措施，调节土壤碳氮比，提高土壤有机质含量，改善土壤结构及理化性状，降低土壤水溶性总盐量，增加土壤中微量元素含量，提高农作物产量和品质，实现农业增效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四、项目实施内容</w:t>
      </w:r>
    </w:p>
    <w:p>
      <w:pPr>
        <w:adjustRightInd w:val="0"/>
        <w:snapToGrid w:val="0"/>
        <w:spacing w:line="560" w:lineRule="exact"/>
        <w:ind w:firstLine="566" w:firstLineChars="17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??_GB2312"/>
          <w:kern w:val="0"/>
          <w:sz w:val="32"/>
          <w:szCs w:val="32"/>
        </w:rPr>
        <w:t>针对土壤板结、退化、耕层变浅等问题，结合深耕深松、秸秆还田等技术措施，在化肥减量的基础上，通过推广增施有机肥（生物有机肥），</w:t>
      </w:r>
      <w:r>
        <w:rPr>
          <w:rFonts w:hint="eastAsia" w:ascii="仿宋_GB2312" w:eastAsia="仿宋_GB2312"/>
          <w:bCs/>
          <w:sz w:val="32"/>
          <w:szCs w:val="32"/>
        </w:rPr>
        <w:t>调节土壤碳氮比，提高土壤有机质含量，改善土壤理化性状，降低次生盐渍化危害，增加土壤中微量元素含量，提高产品品质，增加农业种植效益，</w:t>
      </w:r>
      <w:r>
        <w:rPr>
          <w:rFonts w:hint="eastAsia" w:ascii="仿宋_GB2312" w:eastAsia="仿宋_GB2312" w:cs="??_GB2312"/>
          <w:kern w:val="0"/>
          <w:sz w:val="32"/>
          <w:szCs w:val="32"/>
        </w:rPr>
        <w:t>达到土壤保育培肥改良的目的。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（一）耕地质量保护提升示范区建设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示范区地点选择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年省级耕地质量监测与保护提升项目实施方案》要求，统筹综合考虑县级耕保部门技术力量、示范区耕地质量等级状况、种植大户积极性及配合程度等因素，</w:t>
      </w:r>
      <w:r>
        <w:rPr>
          <w:rFonts w:hint="eastAsia" w:ascii="仿宋_GB2312" w:eastAsia="仿宋_GB2312"/>
          <w:bCs/>
          <w:sz w:val="32"/>
          <w:szCs w:val="32"/>
        </w:rPr>
        <w:t>耕地质量保护提升示范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区设在隆尧县北楼乡尚礼村。该县耕保部门技术力量强，示范区为林地恢复耕地，耕地质量等级中等偏低，土地承包人积极性、配合度较高。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示范区设置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示</w:t>
      </w:r>
      <w:r>
        <w:rPr>
          <w:rFonts w:hint="eastAsia" w:ascii="仿宋_GB2312" w:eastAsia="仿宋_GB2312"/>
          <w:bCs/>
          <w:sz w:val="32"/>
          <w:szCs w:val="32"/>
        </w:rPr>
        <w:t>范区面积</w:t>
      </w:r>
      <w:r>
        <w:rPr>
          <w:rFonts w:ascii="仿宋_GB2312" w:eastAsia="仿宋_GB2312"/>
          <w:bCs/>
          <w:sz w:val="32"/>
          <w:szCs w:val="32"/>
        </w:rPr>
        <w:t>220</w:t>
      </w:r>
      <w:r>
        <w:rPr>
          <w:rFonts w:hint="eastAsia" w:ascii="仿宋_GB2312" w:eastAsia="仿宋_GB2312"/>
          <w:bCs/>
          <w:sz w:val="32"/>
          <w:szCs w:val="32"/>
        </w:rPr>
        <w:t>亩，共设置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个处理，不设重复。处理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90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90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亩，处理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面积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80kg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：常规施肥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120kg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10%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160kg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处理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：常规施肥（减量</w:t>
      </w:r>
      <w:r>
        <w:rPr>
          <w:rFonts w:ascii="仿宋_GB2312" w:eastAsia="仿宋_GB2312"/>
          <w:bCs/>
          <w:sz w:val="32"/>
          <w:szCs w:val="32"/>
        </w:rPr>
        <w:t>20%</w:t>
      </w:r>
      <w:r>
        <w:rPr>
          <w:rFonts w:hint="eastAsia"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/>
          <w:bCs/>
          <w:sz w:val="32"/>
          <w:szCs w:val="32"/>
        </w:rPr>
        <w:t>+</w:t>
      </w:r>
      <w:r>
        <w:rPr>
          <w:rFonts w:hint="eastAsia" w:ascii="仿宋_GB2312" w:eastAsia="仿宋_GB2312"/>
          <w:bCs/>
          <w:sz w:val="32"/>
          <w:szCs w:val="32"/>
        </w:rPr>
        <w:t>有机肥（生物有机肥）</w:t>
      </w:r>
      <w:r>
        <w:rPr>
          <w:rFonts w:ascii="仿宋_GB2312" w:eastAsia="仿宋_GB2312"/>
          <w:bCs/>
          <w:sz w:val="32"/>
          <w:szCs w:val="32"/>
        </w:rPr>
        <w:t>200kg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其中有机肥</w:t>
      </w:r>
      <w:r>
        <w:rPr>
          <w:rFonts w:hint="eastAsia" w:ascii="仿宋_GB2312" w:hAnsi="宋体" w:eastAsia="仿宋_GB2312"/>
          <w:kern w:val="0"/>
          <w:sz w:val="32"/>
          <w:szCs w:val="32"/>
        </w:rPr>
        <w:t>执行</w:t>
      </w:r>
      <w:r>
        <w:rPr>
          <w:rFonts w:ascii="仿宋_GB2312" w:hAnsi="??_GB2312" w:eastAsia="仿宋_GB2312" w:cs="??_GB2312"/>
          <w:kern w:val="0"/>
          <w:sz w:val="32"/>
          <w:szCs w:val="32"/>
        </w:rPr>
        <w:t>NY/T525-2021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标准，生物有机肥执行</w:t>
      </w:r>
      <w:r>
        <w:rPr>
          <w:rFonts w:ascii="仿宋_GB2312" w:hAnsi="宋体" w:eastAsia="仿宋_GB2312"/>
          <w:kern w:val="0"/>
          <w:sz w:val="32"/>
          <w:szCs w:val="32"/>
        </w:rPr>
        <w:t>NY/T884-2012</w:t>
      </w:r>
      <w:r>
        <w:rPr>
          <w:rFonts w:hint="eastAsia" w:ascii="仿宋_GB2312" w:hAnsi="宋体" w:eastAsia="仿宋_GB2312"/>
          <w:kern w:val="0"/>
          <w:sz w:val="32"/>
          <w:szCs w:val="32"/>
        </w:rPr>
        <w:t>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（二）调查与记载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试验地基本情况：试验地户主、试验地地形、土壤类型、土壤质地、肥力等级、代表面积、前茬作物名称、前茬作物产量等。</w:t>
      </w:r>
    </w:p>
    <w:p>
      <w:pPr>
        <w:pStyle w:val="3"/>
        <w:spacing w:line="560" w:lineRule="exact"/>
        <w:ind w:left="0"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土壤样品采集检测：分别在试验实施前、实施后采集土壤混合样品。试验前在</w:t>
      </w:r>
      <w:r>
        <w:rPr>
          <w:rFonts w:ascii="仿宋_GB2312" w:hAnsi="仿宋" w:eastAsia="仿宋_GB2312" w:cs="仿宋"/>
          <w:kern w:val="2"/>
          <w:sz w:val="32"/>
          <w:szCs w:val="32"/>
        </w:rPr>
        <w:t>220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亩示范区内采集检测</w:t>
      </w:r>
      <w:r>
        <w:rPr>
          <w:rFonts w:ascii="仿宋_GB2312" w:hAnsi="仿宋" w:eastAsia="仿宋_GB2312" w:cs="仿宋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个混合样品，试验后分别采集检测处理</w:t>
      </w:r>
      <w:r>
        <w:rPr>
          <w:rFonts w:ascii="仿宋_GB2312" w:hAnsi="仿宋" w:eastAsia="仿宋_GB2312" w:cs="仿宋"/>
          <w:kern w:val="2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2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</w:t>
      </w:r>
      <w:r>
        <w:rPr>
          <w:rFonts w:ascii="仿宋_GB2312" w:hAnsi="仿宋" w:eastAsia="仿宋_GB2312" w:cs="仿宋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土壤混合样品</w:t>
      </w:r>
      <w:r>
        <w:rPr>
          <w:rFonts w:ascii="仿宋_GB2312" w:hAnsi="仿宋" w:eastAsia="仿宋_GB2312" w:cs="仿宋"/>
          <w:kern w:val="2"/>
          <w:sz w:val="32"/>
          <w:szCs w:val="32"/>
        </w:rPr>
        <w:t>4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个。取土深度为</w:t>
      </w:r>
      <w:r>
        <w:rPr>
          <w:rFonts w:ascii="仿宋_GB2312" w:hAnsi="仿宋" w:eastAsia="仿宋_GB2312" w:cs="仿宋"/>
          <w:kern w:val="2"/>
          <w:sz w:val="32"/>
          <w:szCs w:val="32"/>
        </w:rPr>
        <w:t>0-20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厘米。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土壤样品化验项次：土壤水溶性盐总量、</w:t>
      </w:r>
      <w:r>
        <w:rPr>
          <w:rFonts w:ascii="仿宋_GB2312" w:hAnsi="仿宋" w:eastAsia="仿宋_GB2312" w:cs="仿宋"/>
          <w:sz w:val="32"/>
          <w:szCs w:val="32"/>
        </w:rPr>
        <w:t>pH</w:t>
      </w:r>
      <w:r>
        <w:rPr>
          <w:rFonts w:hint="eastAsia" w:ascii="仿宋_GB2312" w:hAnsi="仿宋" w:eastAsia="仿宋_GB2312" w:cs="仿宋"/>
          <w:sz w:val="32"/>
          <w:szCs w:val="32"/>
        </w:rPr>
        <w:t>值、有机质、全氮、有效磷、速效钾、土壤容重。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管理情况：记录整地、播种、移栽、施肥、灌水、排水、中耕、防治病虫害、收获等田间操作的方法、时间、数量，其它农事活动及灾害。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生物学性状调查：在重要的生育期，对作物的生物学性状进行调查记载。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田间测产。测试记载不同处理作物产量构成。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（三）结果分析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对作物的生物学性状和所得产量结果进行对比效果，明确施用后对作物的效果。示范结束后，编制有关报告。</w:t>
      </w:r>
      <w:r>
        <w:rPr>
          <w:rFonts w:hint="eastAsia" w:ascii="仿宋_GB2312" w:hAnsi="Tahoma" w:eastAsia="仿宋_GB2312"/>
          <w:kern w:val="0"/>
          <w:sz w:val="32"/>
          <w:szCs w:val="32"/>
        </w:rPr>
        <w:t>主要内容包括试验示范目的、执行时间和地点、试验示范方案、试验示范管理、试验示范数据统计分析、试验示范效果评价。并提交</w:t>
      </w:r>
      <w:r>
        <w:rPr>
          <w:rFonts w:hint="eastAsia" w:ascii="仿宋_GB2312" w:eastAsia="仿宋_GB2312" w:cs="??_GB2312"/>
          <w:kern w:val="0"/>
          <w:sz w:val="32"/>
          <w:szCs w:val="32"/>
        </w:rPr>
        <w:t>工作报告、绩效报告、技术报告。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五、经费预算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项目资金共计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万元，其中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示范委托业务费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万元，委托业务费用于委托大专院校、科研院所、农业技术服务公司等第三方实施</w:t>
      </w:r>
      <w:r>
        <w:rPr>
          <w:rFonts w:hint="eastAsia" w:ascii="仿宋_GB2312" w:hAnsi="宋体" w:eastAsia="仿宋_GB2312"/>
          <w:sz w:val="32"/>
          <w:szCs w:val="32"/>
        </w:rPr>
        <w:t>示范工作所需费用，资金主要用于示范环节所需的专用材料费、土壤样品采集检测、示范展示标牌制作、产量损失、占地补偿、劳务费、租赁费、委托业务费、生产试验补贴、示范报告编制等费用支出。</w:t>
      </w:r>
    </w:p>
    <w:p>
      <w:pPr>
        <w:spacing w:line="560" w:lineRule="exact"/>
        <w:ind w:firstLine="200"/>
        <w:jc w:val="center"/>
        <w:rPr>
          <w:rFonts w:ascii="仿宋_GB2312" w:eastAsia="仿宋_GB2312" w:cs="??_GB2312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A2D"/>
    <w:rsid w:val="0010532F"/>
    <w:rsid w:val="00132897"/>
    <w:rsid w:val="00205737"/>
    <w:rsid w:val="00250A58"/>
    <w:rsid w:val="00255915"/>
    <w:rsid w:val="00260F65"/>
    <w:rsid w:val="002A1293"/>
    <w:rsid w:val="003F12FC"/>
    <w:rsid w:val="00484B7D"/>
    <w:rsid w:val="00492A80"/>
    <w:rsid w:val="00526466"/>
    <w:rsid w:val="00593568"/>
    <w:rsid w:val="005E0B16"/>
    <w:rsid w:val="00603A14"/>
    <w:rsid w:val="00651EDF"/>
    <w:rsid w:val="00667608"/>
    <w:rsid w:val="007C1D16"/>
    <w:rsid w:val="008E5A65"/>
    <w:rsid w:val="00946562"/>
    <w:rsid w:val="009A6651"/>
    <w:rsid w:val="009C7A9B"/>
    <w:rsid w:val="00AA302E"/>
    <w:rsid w:val="00B54033"/>
    <w:rsid w:val="00B66C19"/>
    <w:rsid w:val="00B82A2D"/>
    <w:rsid w:val="00BC4489"/>
    <w:rsid w:val="00C170CA"/>
    <w:rsid w:val="00C970FE"/>
    <w:rsid w:val="00D0705B"/>
    <w:rsid w:val="00DB26C3"/>
    <w:rsid w:val="00DD442D"/>
    <w:rsid w:val="00E62350"/>
    <w:rsid w:val="00E8034C"/>
    <w:rsid w:val="00E829D7"/>
    <w:rsid w:val="00F0619C"/>
    <w:rsid w:val="00F21B07"/>
    <w:rsid w:val="00F4587D"/>
    <w:rsid w:val="00F53317"/>
    <w:rsid w:val="00FE02B9"/>
    <w:rsid w:val="7BD412DF"/>
    <w:rsid w:val="9FA7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left="720" w:firstLine="567"/>
    </w:pPr>
    <w:rPr>
      <w:rFonts w:ascii="宋体" w:cs="黑体"/>
      <w:kern w:val="0"/>
    </w:rPr>
  </w:style>
  <w:style w:type="paragraph" w:styleId="4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1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locked/>
    <w:uiPriority w:val="99"/>
    <w:rPr>
      <w:rFonts w:cs="Times New Roman"/>
    </w:rPr>
  </w:style>
  <w:style w:type="character" w:customStyle="1" w:styleId="10">
    <w:name w:val="Footer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">
    <w:name w:val="Header Char"/>
    <w:basedOn w:val="8"/>
    <w:link w:val="5"/>
    <w:semiHidden/>
    <w:qFormat/>
    <w:uiPriority w:val="99"/>
    <w:rPr>
      <w:rFonts w:ascii="Calibri" w:hAnsi="Calibri" w:cs="宋体"/>
      <w:sz w:val="18"/>
      <w:szCs w:val="18"/>
    </w:rPr>
  </w:style>
  <w:style w:type="paragraph" w:customStyle="1" w:styleId="12">
    <w:name w:val="样式1"/>
    <w:basedOn w:val="1"/>
    <w:qFormat/>
    <w:uiPriority w:val="0"/>
    <w:pPr>
      <w:spacing w:line="240" w:lineRule="auto"/>
      <w:jc w:val="both"/>
    </w:pPr>
    <w:rPr>
      <w:rFonts w:asci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384</Words>
  <Characters>2192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2023-04-06T11:07:00Z</dcterms:created>
  <dc:creator>Administrator</dc:creator>
  <cp:lastModifiedBy>kylin</cp:lastModifiedBy>
  <dcterms:modified xsi:type="dcterms:W3CDTF">2025-07-15T15:06:45Z</dcterms:modified>
  <dc:title>邢台市农业农村局采购报价单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53ab9107efd94d47bae685ff6c706887</vt:lpwstr>
  </property>
</Properties>
</file>