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是否同意公开：是</w:t>
      </w: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办理结果：A</w:t>
      </w: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邢农提案字〔2025〕</w:t>
      </w: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邢台市农业农村局</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对政协邢台市第十四届委员会</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第五次会议第</w:t>
      </w:r>
      <w:r>
        <w:rPr>
          <w:rFonts w:hint="eastAsia" w:ascii="方正小标宋简体" w:hAnsi="方正小标宋简体" w:eastAsia="方正小标宋简体" w:cs="方正小标宋简体"/>
          <w:sz w:val="44"/>
          <w:szCs w:val="44"/>
          <w:lang w:val="en-US" w:eastAsia="zh-CN"/>
        </w:rPr>
        <w:t>690</w:t>
      </w:r>
      <w:r>
        <w:rPr>
          <w:rFonts w:hint="eastAsia" w:ascii="方正小标宋简体" w:hAnsi="方正小标宋简体" w:eastAsia="方正小标宋简体" w:cs="方正小标宋简体"/>
          <w:sz w:val="44"/>
          <w:szCs w:val="44"/>
        </w:rPr>
        <w:t>号提案的答复</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ascii="仿宋" w:hAnsi="仿宋" w:eastAsia="仿宋" w:cs="仿宋"/>
          <w:spacing w:val="0"/>
          <w:w w:val="100"/>
          <w:position w:val="0"/>
          <w:sz w:val="31"/>
          <w:szCs w:val="3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马玉峰</w:t>
      </w:r>
      <w:r>
        <w:rPr>
          <w:rFonts w:hint="eastAsia" w:ascii="仿宋_GB2312" w:hAnsi="仿宋_GB2312" w:eastAsia="仿宋_GB2312" w:cs="仿宋_GB2312"/>
          <w:spacing w:val="0"/>
          <w:w w:val="100"/>
          <w:position w:val="0"/>
          <w:sz w:val="32"/>
          <w:szCs w:val="32"/>
        </w:rPr>
        <w:t>委员:</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您提出的“</w:t>
      </w:r>
      <w:r>
        <w:rPr>
          <w:rFonts w:hint="eastAsia" w:ascii="仿宋_GB2312" w:hAnsi="仿宋_GB2312" w:eastAsia="仿宋_GB2312" w:cs="仿宋_GB2312"/>
          <w:spacing w:val="0"/>
          <w:w w:val="100"/>
          <w:position w:val="0"/>
          <w:sz w:val="32"/>
          <w:szCs w:val="32"/>
          <w:lang w:val="en-US" w:eastAsia="zh-CN"/>
        </w:rPr>
        <w:t>关于推动我市食品加工产业高质量发展的建议</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eastAsia="zh-CN"/>
        </w:rPr>
        <w:t>的</w:t>
      </w:r>
      <w:r>
        <w:rPr>
          <w:rFonts w:hint="eastAsia" w:ascii="仿宋_GB2312" w:hAnsi="仿宋_GB2312" w:eastAsia="仿宋_GB2312" w:cs="仿宋_GB2312"/>
          <w:spacing w:val="0"/>
          <w:w w:val="100"/>
          <w:position w:val="0"/>
          <w:sz w:val="32"/>
          <w:szCs w:val="32"/>
          <w:lang w:val="en-US" w:eastAsia="zh-CN"/>
        </w:rPr>
        <w:t>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rPr>
        <w:t>我局高度重视，认真研究，积极抓好落实。现结合工作实际答复如下：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_GB2312" w:hAnsi="仿宋_GB2312" w:eastAsia="仿宋_GB2312" w:cs="仿宋_GB2312"/>
          <w:spacing w:val="0"/>
          <w:w w:val="100"/>
          <w:position w:val="0"/>
          <w:sz w:val="32"/>
          <w:szCs w:val="32"/>
          <w:lang w:val="en-US" w:eastAsia="zh-CN"/>
        </w:rPr>
      </w:pPr>
      <w:r>
        <w:rPr>
          <w:rFonts w:hint="default" w:ascii="仿宋_GB2312" w:hAnsi="仿宋_GB2312" w:eastAsia="仿宋_GB2312" w:cs="仿宋_GB2312"/>
          <w:spacing w:val="0"/>
          <w:w w:val="100"/>
          <w:position w:val="0"/>
          <w:sz w:val="32"/>
          <w:szCs w:val="32"/>
          <w:lang w:val="en-US" w:eastAsia="zh-CN"/>
        </w:rPr>
        <w:t>近年来，</w:t>
      </w:r>
      <w:r>
        <w:rPr>
          <w:rFonts w:hint="eastAsia" w:ascii="仿宋_GB2312" w:hAnsi="仿宋_GB2312" w:eastAsia="仿宋_GB2312" w:cs="仿宋_GB2312"/>
          <w:spacing w:val="0"/>
          <w:w w:val="100"/>
          <w:position w:val="0"/>
          <w:sz w:val="32"/>
          <w:szCs w:val="32"/>
          <w:lang w:val="en-US" w:eastAsia="zh-CN"/>
        </w:rPr>
        <w:t>我市抢抓省支持邢台市建设食品加工产业隆起带机遇，</w:t>
      </w:r>
      <w:r>
        <w:rPr>
          <w:rFonts w:hint="default" w:ascii="仿宋_GB2312" w:hAnsi="仿宋_GB2312" w:eastAsia="仿宋_GB2312" w:cs="仿宋_GB2312"/>
          <w:spacing w:val="0"/>
          <w:w w:val="100"/>
          <w:position w:val="0"/>
          <w:sz w:val="32"/>
          <w:szCs w:val="32"/>
          <w:lang w:val="en-US" w:eastAsia="zh-CN"/>
        </w:rPr>
        <w:t>把发展</w:t>
      </w:r>
      <w:r>
        <w:rPr>
          <w:rFonts w:hint="eastAsia" w:ascii="仿宋_GB2312" w:hAnsi="仿宋_GB2312" w:eastAsia="仿宋_GB2312" w:cs="仿宋_GB2312"/>
          <w:spacing w:val="0"/>
          <w:w w:val="100"/>
          <w:position w:val="0"/>
          <w:sz w:val="32"/>
          <w:szCs w:val="32"/>
          <w:lang w:val="en-US" w:eastAsia="zh-CN"/>
        </w:rPr>
        <w:t>农产品加工业</w:t>
      </w:r>
      <w:r>
        <w:rPr>
          <w:rFonts w:hint="default" w:ascii="仿宋_GB2312" w:hAnsi="仿宋_GB2312" w:eastAsia="仿宋_GB2312" w:cs="仿宋_GB2312"/>
          <w:spacing w:val="0"/>
          <w:w w:val="100"/>
          <w:position w:val="0"/>
          <w:sz w:val="32"/>
          <w:szCs w:val="32"/>
          <w:lang w:val="en-US" w:eastAsia="zh-CN"/>
        </w:rPr>
        <w:t>作为促进乡村振兴的重</w:t>
      </w:r>
      <w:r>
        <w:rPr>
          <w:rFonts w:hint="eastAsia" w:ascii="仿宋_GB2312" w:hAnsi="仿宋_GB2312" w:eastAsia="仿宋_GB2312" w:cs="仿宋_GB2312"/>
          <w:spacing w:val="0"/>
          <w:w w:val="100"/>
          <w:position w:val="0"/>
          <w:sz w:val="32"/>
          <w:szCs w:val="32"/>
          <w:lang w:val="en-US" w:eastAsia="zh-CN"/>
        </w:rPr>
        <w:t>点工作</w:t>
      </w:r>
      <w:r>
        <w:rPr>
          <w:rFonts w:hint="default" w:ascii="仿宋_GB2312" w:hAnsi="仿宋_GB2312" w:eastAsia="仿宋_GB2312" w:cs="仿宋_GB2312"/>
          <w:spacing w:val="0"/>
          <w:w w:val="100"/>
          <w:position w:val="0"/>
          <w:sz w:val="32"/>
          <w:szCs w:val="32"/>
          <w:lang w:val="en-US" w:eastAsia="zh-CN"/>
        </w:rPr>
        <w:t>，</w:t>
      </w:r>
      <w:r>
        <w:rPr>
          <w:rFonts w:hint="eastAsia" w:ascii="仿宋_GB2312" w:hAnsi="仿宋_GB2312" w:eastAsia="仿宋_GB2312" w:cs="仿宋_GB2312"/>
          <w:spacing w:val="0"/>
          <w:w w:val="100"/>
          <w:position w:val="0"/>
          <w:sz w:val="32"/>
          <w:szCs w:val="32"/>
          <w:lang w:val="en-US" w:eastAsia="zh-CN"/>
        </w:rPr>
        <w:t>以打造食品加工产业隆起带为抓手，</w:t>
      </w:r>
      <w:r>
        <w:rPr>
          <w:rFonts w:hint="default" w:ascii="仿宋_GB2312" w:hAnsi="仿宋_GB2312" w:eastAsia="仿宋_GB2312" w:cs="仿宋_GB2312"/>
          <w:spacing w:val="0"/>
          <w:w w:val="100"/>
          <w:position w:val="0"/>
          <w:sz w:val="32"/>
          <w:szCs w:val="32"/>
          <w:lang w:val="en-US" w:eastAsia="zh-CN"/>
        </w:rPr>
        <w:t>做大做强</w:t>
      </w:r>
      <w:r>
        <w:rPr>
          <w:rFonts w:hint="eastAsia" w:ascii="仿宋_GB2312" w:hAnsi="仿宋_GB2312" w:eastAsia="仿宋_GB2312" w:cs="仿宋_GB2312"/>
          <w:spacing w:val="0"/>
          <w:w w:val="100"/>
          <w:position w:val="0"/>
          <w:sz w:val="32"/>
          <w:szCs w:val="32"/>
          <w:lang w:val="en-US" w:eastAsia="zh-CN"/>
        </w:rPr>
        <w:t>农产品加工业</w:t>
      </w:r>
      <w:r>
        <w:rPr>
          <w:rFonts w:hint="default" w:ascii="仿宋_GB2312" w:hAnsi="仿宋_GB2312" w:eastAsia="仿宋_GB2312" w:cs="仿宋_GB2312"/>
          <w:spacing w:val="0"/>
          <w:w w:val="100"/>
          <w:position w:val="0"/>
          <w:sz w:val="32"/>
          <w:szCs w:val="32"/>
          <w:lang w:val="en-US" w:eastAsia="zh-CN"/>
        </w:rPr>
        <w:t>，</w:t>
      </w:r>
      <w:r>
        <w:rPr>
          <w:rFonts w:hint="eastAsia" w:ascii="仿宋_GB2312" w:hAnsi="仿宋_GB2312" w:eastAsia="仿宋_GB2312" w:cs="仿宋_GB2312"/>
          <w:spacing w:val="0"/>
          <w:w w:val="100"/>
          <w:position w:val="0"/>
          <w:sz w:val="32"/>
          <w:szCs w:val="32"/>
          <w:lang w:val="en-US" w:eastAsia="zh-CN"/>
        </w:rPr>
        <w:t>推进一二三产业融合加速发展，实现由农业大市向农业强市转变</w:t>
      </w:r>
      <w:r>
        <w:rPr>
          <w:rFonts w:hint="default" w:ascii="仿宋_GB2312" w:hAnsi="仿宋_GB2312" w:eastAsia="仿宋_GB2312" w:cs="仿宋_GB2312"/>
          <w:spacing w:val="0"/>
          <w:w w:val="100"/>
          <w:position w:val="0"/>
          <w:sz w:val="32"/>
          <w:szCs w:val="32"/>
          <w:lang w:val="en-US" w:eastAsia="zh-CN"/>
        </w:rPr>
        <w:t>。</w:t>
      </w:r>
      <w:bookmarkStart w:id="0" w:name="_GoBack"/>
      <w:bookmarkEnd w:id="0"/>
    </w:p>
    <w:p>
      <w:pPr>
        <w:pStyle w:val="5"/>
        <w:keepNext w:val="0"/>
        <w:keepLines w:val="0"/>
        <w:pageBreakBefore w:val="0"/>
        <w:widowControl w:val="0"/>
        <w:numPr>
          <w:ilvl w:val="0"/>
          <w:numId w:val="1"/>
        </w:numPr>
        <w:kinsoku/>
        <w:wordWrap/>
        <w:overflowPunct/>
        <w:topLinePunct w:val="0"/>
        <w:autoSpaceDE/>
        <w:autoSpaceDN/>
        <w:bidi w:val="0"/>
        <w:adjustRightInd/>
        <w:spacing w:line="560" w:lineRule="exact"/>
        <w:ind w:firstLine="640" w:firstLineChars="200"/>
        <w:jc w:val="both"/>
        <w:textAlignment w:val="auto"/>
        <w:rPr>
          <w:rFonts w:hint="eastAsia" w:ascii="黑体" w:hAnsi="黑体" w:eastAsia="黑体" w:cs="黑体"/>
          <w:spacing w:val="0"/>
          <w:w w:val="100"/>
          <w:position w:val="0"/>
          <w:sz w:val="32"/>
          <w:szCs w:val="32"/>
          <w:highlight w:val="none"/>
          <w:lang w:eastAsia="zh-CN"/>
        </w:rPr>
      </w:pPr>
      <w:r>
        <w:rPr>
          <w:rFonts w:hint="eastAsia" w:ascii="黑体" w:hAnsi="黑体" w:eastAsia="黑体" w:cs="黑体"/>
          <w:spacing w:val="0"/>
          <w:w w:val="100"/>
          <w:position w:val="0"/>
          <w:sz w:val="32"/>
          <w:szCs w:val="32"/>
          <w:highlight w:val="none"/>
          <w:lang w:eastAsia="zh-CN"/>
        </w:rPr>
        <w:t>完善基础设施，补足发展短板</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640" w:firstLineChars="200"/>
        <w:jc w:val="left"/>
        <w:textAlignment w:val="baseline"/>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spacing w:val="0"/>
          <w:w w:val="100"/>
          <w:position w:val="0"/>
          <w:sz w:val="32"/>
          <w:szCs w:val="32"/>
          <w:lang w:val="en-US" w:eastAsia="zh-CN"/>
        </w:rPr>
        <w:t>2024年积极推进沙河市功能食品制造及冷链仓储物流园项目落地。</w:t>
      </w:r>
      <w:r>
        <w:rPr>
          <w:rFonts w:hint="eastAsia" w:ascii="仿宋_GB2312" w:hAnsi="仿宋_GB2312" w:eastAsia="仿宋_GB2312" w:cs="仿宋_GB2312"/>
          <w:sz w:val="32"/>
          <w:szCs w:val="32"/>
          <w:lang w:val="en-US" w:eastAsia="zh-CN"/>
        </w:rPr>
        <w:t>按照“园区承载、项目聚集”的思路，着力提升宁晋、</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lef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隆尧、南和五大园区能级和承载力，积极推进实施一批路网、水网、气网、污水管网等基础设施，加快建设一批研发创新、品类展示等公共服务设施，推动土地、金融、人才等要素向园区聚集。</w:t>
      </w:r>
    </w:p>
    <w:p>
      <w:pPr>
        <w:pStyle w:val="7"/>
        <w:keepNext w:val="0"/>
        <w:keepLines w:val="0"/>
        <w:pageBreakBefore w:val="0"/>
        <w:wordWrap/>
        <w:overflowPunct/>
        <w:topLinePunct w:val="0"/>
        <w:bidi w:val="0"/>
        <w:spacing w:after="0" w:line="560" w:lineRule="exact"/>
        <w:rPr>
          <w:rFonts w:hint="eastAsia" w:ascii="黑体" w:hAnsi="黑体" w:eastAsia="黑体" w:cs="黑体"/>
          <w:spacing w:val="0"/>
          <w:w w:val="100"/>
          <w:position w:val="0"/>
          <w:sz w:val="32"/>
          <w:szCs w:val="32"/>
          <w:highlight w:val="none"/>
          <w:lang w:val="en-US" w:eastAsia="zh-CN"/>
        </w:rPr>
      </w:pPr>
      <w:r>
        <w:rPr>
          <w:rFonts w:hint="eastAsia" w:ascii="仿宋_GB2312" w:hAnsi="仿宋_GB2312" w:eastAsia="仿宋_GB2312" w:cs="仿宋_GB2312"/>
          <w:sz w:val="32"/>
          <w:szCs w:val="32"/>
          <w:lang w:val="en-US" w:eastAsia="zh-CN"/>
        </w:rPr>
        <w:t>依托邢台市临空经济区，实施精准招商，吸引大型冷链运输和储存企业入驻，降低冷链运输和储存成本。2025年5月，在太行国际会展中心</w:t>
      </w:r>
      <w:r>
        <w:rPr>
          <w:rFonts w:hint="eastAsia" w:ascii="仿宋_GB2312" w:hAnsi="Times New Roman" w:eastAsia="仿宋_GB2312" w:cs="仿宋_GB2312"/>
          <w:bCs/>
          <w:kern w:val="2"/>
          <w:sz w:val="32"/>
          <w:szCs w:val="32"/>
          <w:lang w:val="en-US" w:eastAsia="zh-CN" w:bidi="ar-SA"/>
        </w:rPr>
        <w:t>高质量举办</w:t>
      </w:r>
      <w:r>
        <w:rPr>
          <w:rFonts w:hint="eastAsia" w:ascii="仿宋_GB2312" w:eastAsia="仿宋_GB2312" w:cs="仿宋_GB2312"/>
          <w:bCs/>
          <w:kern w:val="2"/>
          <w:sz w:val="32"/>
          <w:szCs w:val="32"/>
          <w:lang w:val="en-US" w:eastAsia="zh-CN" w:bidi="ar-SA"/>
        </w:rPr>
        <w:t>的</w:t>
      </w:r>
      <w:r>
        <w:rPr>
          <w:rFonts w:hint="eastAsia" w:ascii="仿宋_GB2312" w:hAnsi="Times New Roman" w:eastAsia="仿宋_GB2312" w:cs="仿宋_GB2312"/>
          <w:bCs/>
          <w:kern w:val="2"/>
          <w:sz w:val="32"/>
          <w:szCs w:val="32"/>
          <w:lang w:val="en-US" w:eastAsia="zh-CN" w:bidi="ar-SA"/>
        </w:rPr>
        <w:t>2025年河北省农产品加工业发展大会</w:t>
      </w:r>
      <w:r>
        <w:rPr>
          <w:rFonts w:hint="eastAsia" w:hAnsi="Times New Roman" w:cs="仿宋_GB2312"/>
          <w:bCs/>
          <w:kern w:val="2"/>
          <w:sz w:val="32"/>
          <w:szCs w:val="32"/>
          <w:lang w:val="en-US" w:eastAsia="zh-CN" w:bidi="ar-SA"/>
        </w:rPr>
        <w:t>，</w:t>
      </w:r>
      <w:r>
        <w:rPr>
          <w:rFonts w:hint="eastAsia" w:ascii="仿宋_GB2312" w:hAnsi="Times New Roman" w:eastAsia="仿宋_GB2312" w:cs="仿宋_GB2312"/>
          <w:bCs/>
          <w:kern w:val="2"/>
          <w:sz w:val="32"/>
          <w:szCs w:val="32"/>
          <w:lang w:val="en-US" w:eastAsia="zh-CN" w:bidi="ar-SA"/>
        </w:rPr>
        <w:t>全面展示</w:t>
      </w:r>
      <w:r>
        <w:rPr>
          <w:rFonts w:hint="eastAsia" w:ascii="仿宋_GB2312" w:eastAsia="仿宋_GB2312" w:cs="仿宋_GB2312"/>
          <w:bCs/>
          <w:kern w:val="2"/>
          <w:sz w:val="32"/>
          <w:szCs w:val="32"/>
          <w:lang w:val="en-US" w:eastAsia="zh-CN" w:bidi="ar-SA"/>
        </w:rPr>
        <w:t>了</w:t>
      </w:r>
      <w:r>
        <w:rPr>
          <w:rFonts w:hint="eastAsia" w:ascii="仿宋_GB2312" w:hAnsi="Times New Roman" w:eastAsia="仿宋_GB2312" w:cs="仿宋_GB2312"/>
          <w:bCs/>
          <w:kern w:val="2"/>
          <w:sz w:val="32"/>
          <w:szCs w:val="32"/>
          <w:lang w:val="en-US" w:eastAsia="zh-CN" w:bidi="ar-SA"/>
        </w:rPr>
        <w:t>我市食品加工产业隆起带建设成效，扩大招商引资成果。</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黑体" w:hAnsi="黑体" w:eastAsia="黑体" w:cs="黑体"/>
          <w:spacing w:val="0"/>
          <w:w w:val="100"/>
          <w:position w:val="0"/>
          <w:sz w:val="32"/>
          <w:szCs w:val="32"/>
          <w:highlight w:val="none"/>
          <w:lang w:val="en-US" w:eastAsia="zh-CN"/>
        </w:rPr>
      </w:pPr>
      <w:r>
        <w:rPr>
          <w:rFonts w:hint="eastAsia" w:ascii="黑体" w:hAnsi="黑体" w:eastAsia="黑体" w:cs="黑体"/>
          <w:spacing w:val="0"/>
          <w:w w:val="100"/>
          <w:position w:val="0"/>
          <w:sz w:val="32"/>
          <w:szCs w:val="32"/>
          <w:highlight w:val="none"/>
          <w:lang w:val="en-US" w:eastAsia="zh-CN"/>
        </w:rPr>
        <w:t>二、推动产业创新，提高科技含量</w:t>
      </w:r>
    </w:p>
    <w:p>
      <w:pPr>
        <w:keepNext w:val="0"/>
        <w:keepLines w:val="0"/>
        <w:pageBreakBefore w:val="0"/>
        <w:widowControl w:val="0"/>
        <w:tabs>
          <w:tab w:val="left" w:pos="1862"/>
        </w:tabs>
        <w:kinsoku/>
        <w:wordWrap/>
        <w:overflowPunct/>
        <w:topLinePunct w:val="0"/>
        <w:autoSpaceDE/>
        <w:autoSpaceDN/>
        <w:bidi w:val="0"/>
        <w:adjustRightInd/>
        <w:snapToGrid/>
        <w:spacing w:line="560" w:lineRule="exact"/>
        <w:ind w:left="0" w:leftChars="0" w:right="0" w:firstLine="688" w:firstLineChars="200"/>
        <w:jc w:val="both"/>
        <w:textAlignment w:val="auto"/>
        <w:rPr>
          <w:rFonts w:hint="eastAsia" w:ascii="仿宋_GB2312" w:hAnsi="Times New Roman" w:eastAsia="仿宋_GB2312" w:cs="仿宋_GB2312"/>
          <w:bCs/>
          <w:kern w:val="2"/>
          <w:sz w:val="32"/>
          <w:szCs w:val="32"/>
          <w:lang w:val="en-US" w:eastAsia="zh-CN" w:bidi="ar-SA"/>
        </w:rPr>
      </w:pPr>
      <w:r>
        <w:rPr>
          <w:rFonts w:hint="eastAsia" w:ascii="仿宋_GB2312" w:hAnsi="仿宋_GB2312" w:eastAsia="仿宋_GB2312" w:cs="仿宋_GB2312"/>
          <w:spacing w:val="12"/>
          <w:kern w:val="2"/>
          <w:sz w:val="32"/>
          <w:szCs w:val="32"/>
          <w:highlight w:val="none"/>
          <w:lang w:val="en-US" w:eastAsia="zh-CN" w:bidi="ar-SA"/>
        </w:rPr>
        <w:t>指导今麦郎“河北省方便食品技术创新中心”、金沙河“河北省谷物食品加工技术创新中心”、捷如美“河北省萝卜育种技术创新中心”凤来仪酒业“河北省泥窖酿酒技术创新中心”等4家企业填报省级创新平台绩效评估年报。开展市级研发平台评审，新增玉星生物“邢台市发酵功能产品技术创新中心”、精中生物“邢台市兽用原料药与制剂技术创新中心”、金元康药业“邢台市宠物干细胞应用技术创新中心”3家市级技术创新中心。</w:t>
      </w:r>
      <w:r>
        <w:rPr>
          <w:rFonts w:hint="eastAsia" w:ascii="仿宋_GB2312" w:hAnsi="Times New Roman" w:eastAsia="仿宋_GB2312" w:cs="仿宋_GB2312"/>
          <w:bCs/>
          <w:kern w:val="2"/>
          <w:sz w:val="32"/>
          <w:szCs w:val="32"/>
          <w:lang w:val="en-US" w:eastAsia="zh-CN" w:bidi="ar-SA"/>
        </w:rPr>
        <w:t>深化与北大荒集团合作，推动隆尧县北大荒研究院落地落实。</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三、发挥龙头带动，实现全链发展</w:t>
      </w:r>
    </w:p>
    <w:p>
      <w:pPr>
        <w:pStyle w:val="5"/>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rPr>
        <w:t>坚持引进和培育相结合，把做大做强龙头企业作为农业产业化发展的重要任务，定期深入企业，与企业沟通交流，随时为企业答疑，开展精准对接服务。</w:t>
      </w:r>
      <w:r>
        <w:rPr>
          <w:rFonts w:hint="eastAsia" w:ascii="仿宋_GB2312" w:hAnsi="仿宋_GB2312" w:eastAsia="仿宋_GB2312" w:cs="仿宋_GB2312"/>
          <w:sz w:val="32"/>
          <w:szCs w:val="32"/>
          <w:lang w:val="en-US" w:eastAsia="zh-CN"/>
        </w:rPr>
        <w:t>全市培育市级以上农业产业化重点龙头企业429家，已全面完成2024年度邢台市农业产业化重点龙头企业申报和监测的认定工作，新增20家以上的任务目标，新增河北金沃土农业服务有限公司、</w:t>
      </w:r>
      <w:r>
        <w:rPr>
          <w:rFonts w:hint="eastAsia" w:ascii="仿宋_GB2312" w:hAnsi="仿宋_GB2312" w:eastAsia="仿宋_GB2312" w:cs="仿宋_GB2312"/>
          <w:kern w:val="2"/>
          <w:sz w:val="32"/>
          <w:szCs w:val="32"/>
          <w:lang w:val="en-US" w:eastAsia="zh-CN" w:bidi="ar-SA"/>
        </w:rPr>
        <w:t>邢台柯尔宠物食品有限公司、河北金元康药业有限公司等33家市级农业产业化重点龙头企业。</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sz w:val="32"/>
          <w:szCs w:val="32"/>
          <w:lang w:val="en-US" w:eastAsia="zh-CN"/>
        </w:rPr>
        <w:t>以社会化服务“便”龙头。积极开展政银企对接活动，建立金融专员服务机制，向金融机构推介龙头企业，解决龙头企业融资难问题。今年以来，通过联合中国银行、农业银行、等先后在南和区、沙河市、隆尧县、柏乡县、宁晋县、任泽区、清河县、临西县、平乡县举办了专项银企对接活动，邀请了200余家农业企业及农业经营主体与金融机构一对一对接，促进农业企业及农业经营主体同银行达成融资意向。</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以产业招商“培”龙头。组织参加2024年河北省农产品加工业发展大会等系列活动，通过展览展示、推介等方式，宣传邢台农业产业优势、招商优惠政策等内容，做到精准招商，培育了一批农业产业化龙头企业。</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四、科学规划发展，促进产业集聚</w:t>
      </w:r>
    </w:p>
    <w:p>
      <w:pPr>
        <w:keepNext w:val="0"/>
        <w:keepLines w:val="0"/>
        <w:pageBreakBefore w:val="0"/>
        <w:widowControl w:val="0"/>
        <w:numPr>
          <w:ilvl w:val="0"/>
          <w:numId w:val="0"/>
        </w:numPr>
        <w:tabs>
          <w:tab w:val="left" w:pos="690"/>
        </w:tabs>
        <w:kinsoku/>
        <w:wordWrap/>
        <w:overflowPunct w:val="0"/>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 w:eastAsia="zh-CN" w:bidi="ar-SA"/>
        </w:rPr>
        <w:t>食品加工产业是省委十届四次全会明确我市重点发展的两大主导产业之一。</w:t>
      </w:r>
      <w:r>
        <w:rPr>
          <w:rFonts w:hint="eastAsia" w:ascii="仿宋_GB2312" w:hAnsi="仿宋_GB2312" w:eastAsia="仿宋_GB2312" w:cs="仿宋_GB2312"/>
          <w:kern w:val="2"/>
          <w:sz w:val="32"/>
          <w:szCs w:val="32"/>
          <w:lang w:val="en-US" w:eastAsia="zh-CN" w:bidi="ar-SA"/>
        </w:rPr>
        <w:t>去年以来，邢台市委、市政府坚决贯彻落实省委、省政府安排部署，成立了由市委书记、市长任组长的食品加工产业隆起带规划建设领导小组。制定了纵贯邢台市域南北，串联6个重点县（市、区）的“一带五园”食品加工产业隆起带规划建设方案。出台了包括资金倾斜、土地保障、产业培育、包联服务等18条支持政策。谋划食品加工项目1</w:t>
      </w:r>
      <w:r>
        <w:rPr>
          <w:rFonts w:hint="default" w:ascii="仿宋_GB2312" w:hAnsi="仿宋_GB2312" w:eastAsia="仿宋_GB2312" w:cs="仿宋_GB2312"/>
          <w:kern w:val="2"/>
          <w:sz w:val="32"/>
          <w:szCs w:val="32"/>
          <w:lang w:val="en" w:eastAsia="zh-CN" w:bidi="ar-SA"/>
        </w:rPr>
        <w:t>90</w:t>
      </w:r>
      <w:r>
        <w:rPr>
          <w:rFonts w:hint="eastAsia" w:ascii="仿宋_GB2312" w:hAnsi="仿宋_GB2312" w:eastAsia="仿宋_GB2312" w:cs="仿宋_GB2312"/>
          <w:kern w:val="2"/>
          <w:sz w:val="32"/>
          <w:szCs w:val="32"/>
          <w:lang w:val="en-US" w:eastAsia="zh-CN" w:bidi="ar-SA"/>
        </w:rPr>
        <w:t>个，计划总投资380.5亿元。2024年完成投资78.6亿元，新建和扩建标准厂房64万平方米，实现68个项目竣工投产，76个项目开工在建。全市食品加工企业由2023年底的1282家增长到2024年底的1571家，净增289家；2024年全市食品加工企业营收907亿元，同比增长11.3%。</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五、加强行业监管，强化质量安全</w:t>
      </w:r>
    </w:p>
    <w:p>
      <w:pPr>
        <w:keepNext w:val="0"/>
        <w:keepLines w:val="0"/>
        <w:pageBreakBefore w:val="0"/>
        <w:widowControl w:val="0"/>
        <w:tabs>
          <w:tab w:val="left" w:pos="1862"/>
        </w:tabs>
        <w:kinsoku/>
        <w:wordWrap/>
        <w:overflowPunct/>
        <w:topLinePunct w:val="0"/>
        <w:autoSpaceDE/>
        <w:autoSpaceDN/>
        <w:bidi w:val="0"/>
        <w:adjustRightInd/>
        <w:snapToGrid/>
        <w:spacing w:line="560" w:lineRule="exact"/>
        <w:ind w:left="0" w:leftChars="0"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加强食品质量全链条管理，以产品质量提升促进食品加工产业隆起。分别由市市场监管局、市农业农村局牵头，逐级签字背书，拿出工作硬措施，定期检查和不定期抽查相结合，全面开展食品、宠物食品安全大检查，强力抓好全市食品质量和宠物食品质量安全。</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50" w:lineRule="exact"/>
        <w:ind w:firstLine="640" w:firstLineChars="200"/>
        <w:jc w:val="both"/>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感谢您对农业农村工作的关心和支持！</w:t>
      </w: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邢台市农业农村局</w:t>
      </w: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2025年5月30日</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领导签发：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highlight w:val="cyan"/>
        </w:rPr>
      </w:pPr>
      <w:r>
        <w:rPr>
          <w:rFonts w:hint="eastAsia" w:ascii="仿宋_GB2312" w:hAnsi="仿宋_GB2312" w:eastAsia="仿宋_GB2312" w:cs="仿宋_GB2312"/>
          <w:spacing w:val="0"/>
          <w:w w:val="100"/>
          <w:position w:val="0"/>
          <w:sz w:val="32"/>
          <w:szCs w:val="32"/>
        </w:rPr>
        <w:t>联系人及电话：</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pPr>
      <w:r>
        <w:rPr>
          <w:rFonts w:hint="eastAsia" w:ascii="仿宋_GB2312" w:hAnsi="仿宋_GB2312" w:eastAsia="仿宋_GB2312" w:cs="仿宋_GB2312"/>
          <w:spacing w:val="0"/>
          <w:w w:val="100"/>
          <w:position w:val="0"/>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fldChar w:fldCharType="begin"/>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instrText xml:space="preserve"> PAGE  \* MERGEFORMAT </w:instrText>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fldChar w:fldCharType="separate"/>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t>1</w:t>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fldChar w:fldCharType="begin"/>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instrText xml:space="preserve"> PAGE  \* MERGEFORMAT </w:instrText>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fldChar w:fldCharType="separate"/>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t>1</w:t>
                    </w:r>
                    <w:r>
                      <w:rPr>
                        <w:rFonts w:hint="eastAsia" w:asciiTheme="minorEastAsia" w:hAnsiTheme="minorEastAsia" w:eastAsiaTheme="minorEastAsia" w:cstheme="minorEastAsia"/>
                        <w:sz w:val="28"/>
                        <w:szCs w:val="28"/>
                        <w:lang w:eastAsia="zh-CN"/>
                        <w14:glow w14:rad="0">
                          <w14:srgbClr w14:val="000000"/>
                        </w14:glow>
                        <w14:reflection w14:blurRad="0" w14:stA="0" w14:stPos="0" w14:endA="0" w14:endPos="0" w14:dist="0" w14:dir="0" w14:fadeDir="0" w14:sx="0" w14:sy="0" w14:kx="0" w14:ky="0" w14:algn="none"/>
                        <w14:textFill>
                          <w14:gradFill>
                            <w14:gsLst>
                              <w14:gs w14:pos="21000">
                                <w14:srgbClr w14:val="53575C"/>
                              </w14:gs>
                              <w14:gs w14:pos="88000">
                                <w14:srgbClr w14:val="C5C7CA"/>
                              </w14:gs>
                            </w14:gsLst>
                            <w14:lin w14:ang="5400000"/>
                          </w14:gradFill>
                        </w14:textFill>
                        <w14:props3d w14:extrusionH="0" w14:contourW="0" w14:prstMaterial="clear"/>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AC3DF"/>
    <w:multiLevelType w:val="singleLevel"/>
    <w:tmpl w:val="D7FAC3D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0BE998BC"/>
    <w:rsid w:val="1F9D0EFC"/>
    <w:rsid w:val="1FFFDB53"/>
    <w:rsid w:val="27E6E4CE"/>
    <w:rsid w:val="296F2580"/>
    <w:rsid w:val="2D2F65EC"/>
    <w:rsid w:val="2DDE0A44"/>
    <w:rsid w:val="2DFDD98A"/>
    <w:rsid w:val="2F9F5585"/>
    <w:rsid w:val="33FDFAAF"/>
    <w:rsid w:val="37F80854"/>
    <w:rsid w:val="3AED6EF7"/>
    <w:rsid w:val="3BBE8DF5"/>
    <w:rsid w:val="3D2D143A"/>
    <w:rsid w:val="3DBC8B0D"/>
    <w:rsid w:val="3FFFC438"/>
    <w:rsid w:val="4A740A5B"/>
    <w:rsid w:val="4ABAFA6A"/>
    <w:rsid w:val="4BFBDB5A"/>
    <w:rsid w:val="527B0076"/>
    <w:rsid w:val="577AF521"/>
    <w:rsid w:val="5A6E4C9D"/>
    <w:rsid w:val="5ABF27EC"/>
    <w:rsid w:val="5AFBBACB"/>
    <w:rsid w:val="5BBAD456"/>
    <w:rsid w:val="5BDF1DC7"/>
    <w:rsid w:val="5F758E01"/>
    <w:rsid w:val="5F7BC764"/>
    <w:rsid w:val="5FBB3193"/>
    <w:rsid w:val="5FFF21B9"/>
    <w:rsid w:val="5FFFE01B"/>
    <w:rsid w:val="63BD96CF"/>
    <w:rsid w:val="65F62688"/>
    <w:rsid w:val="67D44070"/>
    <w:rsid w:val="67FED270"/>
    <w:rsid w:val="69B1306C"/>
    <w:rsid w:val="6FFB7ECD"/>
    <w:rsid w:val="70AF19E1"/>
    <w:rsid w:val="71A73041"/>
    <w:rsid w:val="73B70DB6"/>
    <w:rsid w:val="73FFECE0"/>
    <w:rsid w:val="767F46BE"/>
    <w:rsid w:val="76BDF5B4"/>
    <w:rsid w:val="76F51918"/>
    <w:rsid w:val="774BB46F"/>
    <w:rsid w:val="776F8120"/>
    <w:rsid w:val="77D5225A"/>
    <w:rsid w:val="77DBDD86"/>
    <w:rsid w:val="77DE1057"/>
    <w:rsid w:val="7AF7A39D"/>
    <w:rsid w:val="7BF37E5F"/>
    <w:rsid w:val="7C356B29"/>
    <w:rsid w:val="7CFA9219"/>
    <w:rsid w:val="7DEC0038"/>
    <w:rsid w:val="7E7FBAB2"/>
    <w:rsid w:val="7EB734E2"/>
    <w:rsid w:val="7F2E3046"/>
    <w:rsid w:val="7F7F97C3"/>
    <w:rsid w:val="9FEEE903"/>
    <w:rsid w:val="ABACE559"/>
    <w:rsid w:val="AF4732A0"/>
    <w:rsid w:val="B3BFF8CC"/>
    <w:rsid w:val="B3CB1A69"/>
    <w:rsid w:val="B77FECAE"/>
    <w:rsid w:val="B9FDC88C"/>
    <w:rsid w:val="BCF7EF8F"/>
    <w:rsid w:val="BED93813"/>
    <w:rsid w:val="BF7303E1"/>
    <w:rsid w:val="BFBB1ABD"/>
    <w:rsid w:val="BFBECA3A"/>
    <w:rsid w:val="BFED2AA2"/>
    <w:rsid w:val="CBED193F"/>
    <w:rsid w:val="D3D7E3D8"/>
    <w:rsid w:val="D7DF456D"/>
    <w:rsid w:val="D9FE6697"/>
    <w:rsid w:val="DBF17EE1"/>
    <w:rsid w:val="DBFD7EB7"/>
    <w:rsid w:val="DCF795DA"/>
    <w:rsid w:val="DEFF752A"/>
    <w:rsid w:val="DF775C05"/>
    <w:rsid w:val="DFDB8779"/>
    <w:rsid w:val="DFF68FAB"/>
    <w:rsid w:val="DFF93391"/>
    <w:rsid w:val="E5EF975F"/>
    <w:rsid w:val="E6A77025"/>
    <w:rsid w:val="EB7EA0EE"/>
    <w:rsid w:val="EBFFB9F8"/>
    <w:rsid w:val="ECB7873A"/>
    <w:rsid w:val="EDE64F16"/>
    <w:rsid w:val="EF07C7B0"/>
    <w:rsid w:val="EFFF9037"/>
    <w:rsid w:val="F3EDC4E9"/>
    <w:rsid w:val="F47F7BAF"/>
    <w:rsid w:val="F5DE4875"/>
    <w:rsid w:val="F67A4E35"/>
    <w:rsid w:val="F767BFD7"/>
    <w:rsid w:val="F7DE90C8"/>
    <w:rsid w:val="F7EEED6A"/>
    <w:rsid w:val="F7FF7E76"/>
    <w:rsid w:val="F99F4288"/>
    <w:rsid w:val="F9FB2C41"/>
    <w:rsid w:val="FAFF5BBB"/>
    <w:rsid w:val="FB13D170"/>
    <w:rsid w:val="FB14474A"/>
    <w:rsid w:val="FCF7CA60"/>
    <w:rsid w:val="FD2FDC90"/>
    <w:rsid w:val="FDAE187A"/>
    <w:rsid w:val="FDDECC2A"/>
    <w:rsid w:val="FDDF4054"/>
    <w:rsid w:val="FEFB637B"/>
    <w:rsid w:val="FF7FA40A"/>
    <w:rsid w:val="FFCB59C8"/>
    <w:rsid w:val="FFFD2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420" w:leftChars="200" w:firstLine="420" w:firstLineChars="200"/>
    </w:pPr>
    <w:rPr>
      <w:rFonts w:ascii="Times New Roman"/>
    </w:rPr>
  </w:style>
  <w:style w:type="paragraph" w:styleId="3">
    <w:name w:val="Body Text Indent"/>
    <w:basedOn w:val="1"/>
    <w:next w:val="4"/>
    <w:qFormat/>
    <w:uiPriority w:val="0"/>
    <w:pPr>
      <w:snapToGrid w:val="0"/>
      <w:spacing w:line="480" w:lineRule="exact"/>
      <w:ind w:right="-45" w:firstLine="480"/>
    </w:pPr>
    <w:rPr>
      <w:rFonts w:ascii="楷体_GB2312" w:eastAsia="楷体_GB2312"/>
      <w:spacing w:val="12"/>
      <w:sz w:val="24"/>
    </w:rPr>
  </w:style>
  <w:style w:type="paragraph" w:styleId="4">
    <w:name w:val="Normal Indent"/>
    <w:basedOn w:val="1"/>
    <w:next w:val="5"/>
    <w:qFormat/>
    <w:uiPriority w:val="99"/>
    <w:pPr>
      <w:spacing w:after="120"/>
      <w:ind w:left="420"/>
    </w:pPr>
  </w:style>
  <w:style w:type="paragraph" w:styleId="5">
    <w:name w:val="footer"/>
    <w:basedOn w:val="1"/>
    <w:next w:val="2"/>
    <w:qFormat/>
    <w:uiPriority w:val="0"/>
    <w:pPr>
      <w:tabs>
        <w:tab w:val="center" w:pos="4153"/>
        <w:tab w:val="right" w:pos="8306"/>
      </w:tabs>
      <w:snapToGrid w:val="0"/>
      <w:jc w:val="left"/>
    </w:pPr>
    <w:rPr>
      <w:sz w:val="18"/>
    </w:rPr>
  </w:style>
  <w:style w:type="paragraph" w:styleId="6">
    <w:name w:val="toa heading"/>
    <w:basedOn w:val="1"/>
    <w:next w:val="1"/>
    <w:qFormat/>
    <w:uiPriority w:val="0"/>
    <w:pPr>
      <w:spacing w:before="120"/>
    </w:pPr>
    <w:rPr>
      <w:rFonts w:ascii="Arial" w:hAnsi="Arial"/>
      <w:sz w:val="24"/>
    </w:rPr>
  </w:style>
  <w:style w:type="paragraph" w:styleId="7">
    <w:name w:val="Body Text"/>
    <w:basedOn w:val="1"/>
    <w:next w:val="8"/>
    <w:qFormat/>
    <w:uiPriority w:val="0"/>
    <w:pPr>
      <w:spacing w:after="240"/>
      <w:jc w:val="left"/>
    </w:pPr>
    <w:rPr>
      <w:rFonts w:ascii="Times New Roman" w:hAnsi="Times New Roman" w:eastAsia="宋体" w:cs="Times New Roman"/>
    </w:rPr>
  </w:style>
  <w:style w:type="paragraph" w:styleId="8">
    <w:name w:val="toc 2"/>
    <w:basedOn w:val="1"/>
    <w:next w:val="1"/>
    <w:qFormat/>
    <w:uiPriority w:val="0"/>
    <w:pPr>
      <w:tabs>
        <w:tab w:val="right" w:leader="middleDot" w:pos="8640"/>
        <w:tab w:val="left" w:pos="9180"/>
      </w:tabs>
      <w:spacing w:line="460" w:lineRule="exact"/>
    </w:pPr>
    <w:rPr>
      <w:rFonts w:ascii="Times New Roman" w:hAnsi="Times New Roman" w:eastAsia="宋体" w:cs="Times New Roman"/>
      <w:sz w:val="24"/>
    </w:rPr>
  </w:style>
  <w:style w:type="paragraph" w:styleId="9">
    <w:name w:val="Plain Text"/>
    <w:basedOn w:val="1"/>
    <w:qFormat/>
    <w:uiPriority w:val="0"/>
    <w:rPr>
      <w:rFonts w:ascii="宋体" w:hAnsi="Courier New"/>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2023-05-29T16:42:00Z</dcterms:created>
  <dc:creator>风雨兼程</dc:creator>
  <cp:lastModifiedBy>ncj</cp:lastModifiedBy>
  <dcterms:modified xsi:type="dcterms:W3CDTF">2025-07-04T16:23:27Z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