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是否同意公开：是</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办理结果：A</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邢农提案字〔2025〕</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1号</w:t>
      </w:r>
    </w:p>
    <w:p>
      <w:pPr>
        <w:keepNext w:val="0"/>
        <w:keepLines w:val="0"/>
        <w:pageBreakBefore w:val="0"/>
        <w:widowControl w:val="0"/>
        <w:kinsoku/>
        <w:wordWrap/>
        <w:overflowPunct/>
        <w:topLinePunct w:val="0"/>
        <w:autoSpaceDE/>
        <w:autoSpaceDN/>
        <w:bidi w:val="0"/>
        <w:adjustRightInd/>
        <w:snapToGrid/>
        <w:spacing w:line="560" w:lineRule="exact"/>
        <w:ind w:leftChars="0" w:firstLine="420" w:firstLineChars="200"/>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邢台市农业农村局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对政协邢台市第十四届委员会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第五次会议第</w:t>
      </w:r>
      <w:r>
        <w:rPr>
          <w:rFonts w:hint="eastAsia" w:ascii="方正小标宋简体" w:hAnsi="方正小标宋简体" w:eastAsia="方正小标宋简体" w:cs="方正小标宋简体"/>
          <w:sz w:val="44"/>
          <w:szCs w:val="44"/>
          <w:lang w:val="en-US" w:eastAsia="zh-CN"/>
        </w:rPr>
        <w:t>479</w:t>
      </w:r>
      <w:r>
        <w:rPr>
          <w:rFonts w:hint="eastAsia" w:ascii="方正小标宋简体" w:hAnsi="方正小标宋简体" w:eastAsia="方正小标宋简体" w:cs="方正小标宋简体"/>
          <w:sz w:val="44"/>
          <w:szCs w:val="44"/>
        </w:rPr>
        <w:t>号提案的答复</w:t>
      </w:r>
    </w:p>
    <w:p>
      <w:pPr>
        <w:pStyle w:val="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rPr>
      </w:pPr>
      <w:bookmarkStart w:id="0" w:name="_GoBack"/>
      <w:bookmarkEnd w:id="0"/>
    </w:p>
    <w:p>
      <w:pPr>
        <w:pStyle w:val="8"/>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color w:val="auto"/>
          <w:kern w:val="0"/>
          <w:sz w:val="32"/>
          <w:szCs w:val="32"/>
          <w:lang w:val="en-US" w:eastAsia="zh-CN"/>
        </w:rPr>
        <w:t>李风杰、朱丽娜委员：</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你们提出的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color w:val="auto"/>
          <w:kern w:val="0"/>
          <w:sz w:val="32"/>
          <w:szCs w:val="32"/>
          <w:lang w:val="en-US" w:eastAsia="zh-CN"/>
        </w:rPr>
        <w:t>关于加快和美乡村示范村建设</w:t>
      </w:r>
      <w:r>
        <w:rPr>
          <w:rFonts w:hint="eastAsia" w:ascii="仿宋_GB2312" w:hAnsi="仿宋_GB2312" w:eastAsia="仿宋_GB2312" w:cs="仿宋_GB2312"/>
          <w:spacing w:val="0"/>
          <w:w w:val="100"/>
          <w:position w:val="0"/>
          <w:sz w:val="32"/>
          <w:szCs w:val="32"/>
          <w:lang w:val="en-US" w:eastAsia="zh-CN"/>
        </w:rPr>
        <w:t>的提案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pacing w:val="0"/>
          <w:w w:val="100"/>
          <w:position w:val="0"/>
          <w:sz w:val="32"/>
          <w:szCs w:val="32"/>
        </w:rPr>
        <w:t>收悉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我局高度重视，认真研究，积极抓好落实。现结合工作实际答复如下：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SA"/>
        </w:rPr>
        <w:sectPr>
          <w:pgSz w:w="11906" w:h="16838"/>
          <w:pgMar w:top="2098" w:right="1531" w:bottom="1984" w:left="1531" w:header="851" w:footer="1701" w:gutter="0"/>
          <w:pgNumType w:fmt="numberInDash"/>
          <w:cols w:space="720" w:num="1"/>
          <w:docGrid w:type="lines" w:linePitch="312" w:charSpace="0"/>
        </w:sectPr>
      </w:pPr>
      <w:r>
        <w:rPr>
          <w:rFonts w:hint="eastAsia" w:ascii="仿宋_GB2312" w:eastAsia="仿宋_GB2312" w:cs="Times New Roman"/>
          <w:b w:val="0"/>
          <w:bCs w:val="0"/>
          <w:sz w:val="32"/>
          <w:szCs w:val="32"/>
          <w:lang w:eastAsia="zh-CN"/>
        </w:rPr>
        <w:t>首先，十分感谢你们对我市和美乡村建设工作的关注关心。近年来，我们将和美乡村建设作为</w:t>
      </w:r>
      <w:r>
        <w:rPr>
          <w:rFonts w:hint="eastAsia" w:ascii="仿宋_GB2312" w:eastAsia="仿宋_GB2312" w:cs="Times New Roman"/>
          <w:b w:val="0"/>
          <w:bCs w:val="0"/>
          <w:sz w:val="32"/>
          <w:szCs w:val="32"/>
          <w:lang w:val="en-US" w:eastAsia="zh-CN"/>
        </w:rPr>
        <w:t>“太行泉城 美丽邢台”建设重要一环，</w:t>
      </w:r>
      <w:r>
        <w:rPr>
          <w:rFonts w:hint="eastAsia" w:ascii="仿宋_GB2312" w:eastAsia="仿宋_GB2312" w:cs="Times New Roman"/>
          <w:b w:val="0"/>
          <w:bCs w:val="0"/>
          <w:sz w:val="32"/>
          <w:szCs w:val="32"/>
          <w:lang w:eastAsia="zh-CN"/>
        </w:rPr>
        <w:t>学习借鉴浙江“千万工程”做法，</w:t>
      </w:r>
      <w:r>
        <w:rPr>
          <w:rFonts w:hint="eastAsia" w:ascii="仿宋_GB2312" w:eastAsia="仿宋_GB2312" w:cs="Times New Roman"/>
          <w:b w:val="0"/>
          <w:bCs w:val="0"/>
          <w:sz w:val="32"/>
          <w:szCs w:val="32"/>
          <w:lang w:val="en-US" w:eastAsia="zh-CN"/>
        </w:rPr>
        <w:t>聚焦提升人居环境舒适度、优势产业集聚度、基础设施完备度、公共服务便利度、乡村社会善治度，</w:t>
      </w:r>
      <w:r>
        <w:rPr>
          <w:rFonts w:hint="eastAsia" w:ascii="仿宋_GB2312" w:eastAsia="仿宋_GB2312" w:cs="Times New Roman"/>
          <w:b w:val="0"/>
          <w:bCs w:val="0"/>
          <w:sz w:val="32"/>
          <w:szCs w:val="32"/>
          <w:lang w:eastAsia="zh-CN"/>
        </w:rPr>
        <w:t>着力打造具有冀中南风情的和美乡村，取得积极成效。截至目前，全市共</w:t>
      </w:r>
      <w:r>
        <w:rPr>
          <w:rFonts w:hint="eastAsia" w:ascii="仿宋_GB2312" w:eastAsia="仿宋_GB2312" w:cs="Times New Roman"/>
          <w:b w:val="0"/>
          <w:bCs w:val="0"/>
          <w:sz w:val="32"/>
          <w:szCs w:val="32"/>
          <w:lang w:val="en-US" w:eastAsia="zh-CN"/>
        </w:rPr>
        <w:t>创建</w:t>
      </w:r>
      <w:r>
        <w:rPr>
          <w:rFonts w:hint="eastAsia" w:ascii="仿宋_GB2312" w:eastAsia="仿宋_GB2312" w:cs="Times New Roman"/>
          <w:b w:val="0"/>
          <w:bCs w:val="0"/>
          <w:sz w:val="32"/>
          <w:szCs w:val="32"/>
          <w:lang w:eastAsia="zh-CN"/>
        </w:rPr>
        <w:t>省级和美乡村重点片区</w:t>
      </w:r>
      <w:r>
        <w:rPr>
          <w:rFonts w:hint="default" w:ascii="仿宋_GB2312" w:eastAsia="仿宋_GB2312" w:cs="Times New Roman"/>
          <w:b w:val="0"/>
          <w:bCs w:val="0"/>
          <w:sz w:val="32"/>
          <w:szCs w:val="32"/>
          <w:lang w:val="en-US" w:eastAsia="zh-CN"/>
        </w:rPr>
        <w:t>8</w:t>
      </w:r>
      <w:r>
        <w:rPr>
          <w:rFonts w:hint="eastAsia" w:ascii="仿宋_GB2312" w:eastAsia="仿宋_GB2312" w:cs="Times New Roman"/>
          <w:b w:val="0"/>
          <w:bCs w:val="0"/>
          <w:sz w:val="32"/>
          <w:szCs w:val="32"/>
          <w:lang w:val="en-US" w:eastAsia="zh-CN"/>
        </w:rPr>
        <w:t>个、省级</w:t>
      </w:r>
      <w:r>
        <w:rPr>
          <w:rFonts w:hint="eastAsia" w:ascii="仿宋_GB2312" w:eastAsia="仿宋_GB2312" w:cs="Times New Roman"/>
          <w:b w:val="0"/>
          <w:bCs w:val="0"/>
          <w:sz w:val="32"/>
          <w:szCs w:val="32"/>
          <w:lang w:eastAsia="zh-CN"/>
        </w:rPr>
        <w:t>和美乡村重点村2</w:t>
      </w:r>
      <w:r>
        <w:rPr>
          <w:rFonts w:hint="default" w:ascii="仿宋_GB2312" w:eastAsia="仿宋_GB2312" w:cs="Times New Roman"/>
          <w:b w:val="0"/>
          <w:bCs w:val="0"/>
          <w:sz w:val="32"/>
          <w:szCs w:val="32"/>
          <w:lang w:val="en-US" w:eastAsia="zh-CN"/>
        </w:rPr>
        <w:t>55</w:t>
      </w:r>
      <w:r>
        <w:rPr>
          <w:rFonts w:hint="eastAsia" w:ascii="仿宋_GB2312" w:eastAsia="仿宋_GB2312" w:cs="Times New Roman"/>
          <w:b w:val="0"/>
          <w:bCs w:val="0"/>
          <w:sz w:val="32"/>
          <w:szCs w:val="32"/>
          <w:lang w:eastAsia="zh-CN"/>
        </w:rPr>
        <w:t>个。</w:t>
      </w:r>
      <w:r>
        <w:rPr>
          <w:rFonts w:hint="eastAsia" w:ascii="仿宋_GB2312" w:hAnsi="Calibri" w:eastAsia="仿宋_GB2312" w:cs="Times New Roman"/>
          <w:b w:val="0"/>
          <w:bCs w:val="0"/>
          <w:sz w:val="32"/>
          <w:szCs w:val="32"/>
          <w:lang w:val="en-US" w:eastAsia="zh-CN"/>
        </w:rPr>
        <w:t>2025年</w:t>
      </w:r>
      <w:r>
        <w:rPr>
          <w:rFonts w:hint="eastAsia" w:ascii="仿宋_GB2312" w:hAnsi="Calibri" w:eastAsia="仿宋_GB2312" w:cs="Times New Roman"/>
          <w:b w:val="0"/>
          <w:bCs w:val="0"/>
          <w:sz w:val="32"/>
          <w:szCs w:val="32"/>
          <w:lang w:eastAsia="zh-CN"/>
        </w:rPr>
        <w:t>，</w:t>
      </w:r>
      <w:r>
        <w:rPr>
          <w:rFonts w:hint="eastAsia" w:ascii="仿宋_GB2312" w:hAnsi="仿宋_GB2312" w:eastAsia="仿宋_GB2312" w:cs="仿宋_GB2312"/>
          <w:b w:val="0"/>
          <w:bCs w:val="0"/>
          <w:color w:val="auto"/>
          <w:kern w:val="0"/>
          <w:sz w:val="32"/>
          <w:szCs w:val="32"/>
          <w:lang w:val="en-US" w:eastAsia="zh-CN" w:bidi="ar-SA"/>
        </w:rPr>
        <w:t>我们将积极发挥牵头作用，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Calibri" w:eastAsia="仿宋_GB2312" w:cs="Times New Roman"/>
          <w:b w:val="0"/>
          <w:bCs w:val="0"/>
          <w:sz w:val="32"/>
          <w:szCs w:val="32"/>
          <w:lang w:eastAsia="zh-CN"/>
        </w:rPr>
      </w:pPr>
      <w:r>
        <w:rPr>
          <w:rFonts w:hint="eastAsia" w:ascii="仿宋_GB2312" w:hAnsi="仿宋_GB2312" w:eastAsia="仿宋_GB2312" w:cs="仿宋_GB2312"/>
          <w:b w:val="0"/>
          <w:bCs w:val="0"/>
          <w:color w:val="auto"/>
          <w:kern w:val="0"/>
          <w:sz w:val="32"/>
          <w:szCs w:val="32"/>
          <w:lang w:val="en-US" w:eastAsia="zh-CN" w:bidi="ar-SA"/>
        </w:rPr>
        <w:t>统筹协调各有关部门</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不断创新思路，</w:t>
      </w:r>
      <w:r>
        <w:rPr>
          <w:rFonts w:hint="eastAsia" w:ascii="仿宋_GB2312" w:hAnsi="仿宋_GB2312" w:eastAsia="仿宋_GB2312" w:cs="仿宋_GB2312"/>
          <w:b w:val="0"/>
          <w:bCs w:val="0"/>
          <w:sz w:val="32"/>
          <w:szCs w:val="32"/>
          <w:lang w:eastAsia="zh-CN"/>
        </w:rPr>
        <w:t>紧盯</w:t>
      </w:r>
      <w:r>
        <w:rPr>
          <w:rFonts w:hint="eastAsia" w:ascii="仿宋_GB2312" w:hAnsi="仿宋_GB2312" w:eastAsia="仿宋_GB2312" w:cs="仿宋_GB2312"/>
          <w:b w:val="0"/>
          <w:bCs w:val="0"/>
          <w:sz w:val="32"/>
          <w:szCs w:val="32"/>
        </w:rPr>
        <w:t>薄弱环节</w:t>
      </w:r>
      <w:r>
        <w:rPr>
          <w:rFonts w:hint="eastAsia" w:ascii="仿宋_GB2312" w:hAnsi="仿宋_GB2312" w:eastAsia="仿宋_GB2312" w:cs="仿宋_GB2312"/>
          <w:b w:val="0"/>
          <w:bCs w:val="0"/>
          <w:sz w:val="32"/>
          <w:szCs w:val="32"/>
          <w:lang w:eastAsia="zh-CN"/>
        </w:rPr>
        <w:t>，强化工作举措</w:t>
      </w:r>
      <w:r>
        <w:rPr>
          <w:rFonts w:hint="eastAsia" w:ascii="仿宋_GB2312" w:hAnsi="仿宋_GB2312" w:eastAsia="仿宋_GB2312" w:cs="仿宋_GB2312"/>
          <w:b w:val="0"/>
          <w:bCs w:val="0"/>
          <w:color w:val="auto"/>
          <w:kern w:val="0"/>
          <w:sz w:val="32"/>
          <w:szCs w:val="32"/>
          <w:lang w:val="en-US" w:eastAsia="zh-CN" w:bidi="ar-SA"/>
        </w:rPr>
        <w:t>，持续打造</w:t>
      </w:r>
      <w:r>
        <w:rPr>
          <w:rFonts w:hint="eastAsia" w:ascii="仿宋_GB2312" w:hAnsi="Calibri" w:eastAsia="仿宋_GB2312" w:cs="Times New Roman"/>
          <w:b w:val="0"/>
          <w:bCs w:val="0"/>
          <w:sz w:val="32"/>
          <w:szCs w:val="32"/>
        </w:rPr>
        <w:t>具有</w:t>
      </w:r>
      <w:r>
        <w:rPr>
          <w:rFonts w:hint="eastAsia" w:ascii="仿宋_GB2312" w:eastAsia="仿宋_GB2312"/>
          <w:b w:val="0"/>
          <w:bCs w:val="0"/>
          <w:sz w:val="32"/>
          <w:szCs w:val="32"/>
          <w:lang w:eastAsia="zh-CN"/>
        </w:rPr>
        <w:t>冀中南风情</w:t>
      </w:r>
      <w:r>
        <w:rPr>
          <w:rFonts w:hint="eastAsia" w:ascii="仿宋_GB2312" w:hAnsi="Calibri" w:eastAsia="仿宋_GB2312" w:cs="Times New Roman"/>
          <w:b w:val="0"/>
          <w:bCs w:val="0"/>
          <w:sz w:val="32"/>
          <w:szCs w:val="32"/>
        </w:rPr>
        <w:t>的宜居</w:t>
      </w:r>
      <w:r>
        <w:rPr>
          <w:rFonts w:hint="eastAsia" w:ascii="仿宋_GB2312" w:hAnsi="Calibri" w:eastAsia="仿宋_GB2312" w:cs="Times New Roman"/>
          <w:b w:val="0"/>
          <w:bCs w:val="0"/>
          <w:sz w:val="32"/>
          <w:szCs w:val="32"/>
          <w:lang w:eastAsia="zh-CN"/>
        </w:rPr>
        <w:t>宜业和美</w:t>
      </w:r>
      <w:r>
        <w:rPr>
          <w:rFonts w:hint="eastAsia" w:ascii="仿宋_GB2312" w:hAnsi="Calibri" w:eastAsia="仿宋_GB2312" w:cs="Times New Roman"/>
          <w:b w:val="0"/>
          <w:bCs w:val="0"/>
          <w:sz w:val="32"/>
          <w:szCs w:val="32"/>
        </w:rPr>
        <w:t>乡村。</w:t>
      </w:r>
      <w:r>
        <w:rPr>
          <w:rFonts w:hint="eastAsia" w:ascii="仿宋_GB2312" w:hAnsi="Calibri" w:eastAsia="仿宋_GB2312" w:cs="Times New Roman"/>
          <w:b w:val="0"/>
          <w:bCs w:val="0"/>
          <w:sz w:val="32"/>
          <w:szCs w:val="32"/>
          <w:lang w:eastAsia="zh-CN"/>
        </w:rPr>
        <w:t>重点抓好以下工作：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培树</w:t>
      </w:r>
      <w:r>
        <w:rPr>
          <w:rFonts w:hint="eastAsia" w:ascii="黑体" w:hAnsi="黑体" w:eastAsia="黑体" w:cs="黑体"/>
          <w:sz w:val="32"/>
          <w:szCs w:val="32"/>
        </w:rPr>
        <w:t>和美乡村建设</w:t>
      </w:r>
      <w:r>
        <w:rPr>
          <w:rFonts w:hint="eastAsia" w:ascii="黑体" w:hAnsi="黑体" w:eastAsia="黑体" w:cs="黑体"/>
          <w:sz w:val="32"/>
          <w:szCs w:val="32"/>
          <w:lang w:eastAsia="zh-CN"/>
        </w:rPr>
        <w:t>标杆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坚持</w:t>
      </w:r>
      <w:r>
        <w:rPr>
          <w:rFonts w:hint="eastAsia" w:ascii="仿宋_GB2312" w:hAnsi="仿宋_GB2312" w:eastAsia="仿宋_GB2312" w:cs="仿宋_GB2312"/>
          <w:sz w:val="32"/>
          <w:szCs w:val="32"/>
        </w:rPr>
        <w:t>抓点促面、连线成片，</w:t>
      </w:r>
      <w:r>
        <w:rPr>
          <w:rFonts w:hint="eastAsia" w:ascii="仿宋_GB2312" w:hAnsi="仿宋_GB2312" w:eastAsia="仿宋_GB2312" w:cs="仿宋_GB2312"/>
          <w:sz w:val="32"/>
          <w:szCs w:val="32"/>
          <w:lang w:eastAsia="zh-CN"/>
        </w:rPr>
        <w:t>提升和美乡村重点片区创建水平，布局一批和美乡村创建村，争创省级和美乡村重点片区</w:t>
      </w:r>
      <w:r>
        <w:rPr>
          <w:rFonts w:hint="eastAsia" w:ascii="仿宋_GB2312" w:hAnsi="仿宋_GB2312" w:eastAsia="仿宋_GB2312" w:cs="仿宋_GB2312"/>
          <w:sz w:val="32"/>
          <w:szCs w:val="32"/>
          <w:lang w:val="en-US" w:eastAsia="zh-CN"/>
        </w:rPr>
        <w:t>1个，省级和美乡村重点村10个以上。</w:t>
      </w:r>
      <w:r>
        <w:rPr>
          <w:rFonts w:hint="eastAsia" w:eastAsia="仿宋_GB2312"/>
          <w:sz w:val="32"/>
          <w:szCs w:val="32"/>
          <w:lang w:eastAsia="zh-CN"/>
        </w:rPr>
        <w:t>指导各县（市、区）完成有条件、有需求村庄的规划编制和审批工作。</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rPr>
        <w:t>南和区</w:t>
      </w:r>
      <w:r>
        <w:rPr>
          <w:rFonts w:hint="eastAsia" w:ascii="仿宋_GB2312" w:hAnsi="仿宋_GB2312" w:eastAsia="仿宋_GB2312" w:cs="仿宋_GB2312"/>
          <w:sz w:val="32"/>
          <w:szCs w:val="32"/>
          <w:lang w:eastAsia="zh-CN"/>
        </w:rPr>
        <w:t>农村</w:t>
      </w:r>
      <w:r>
        <w:rPr>
          <w:rFonts w:hint="eastAsia" w:ascii="仿宋_GB2312" w:hAnsi="仿宋_GB2312" w:eastAsia="仿宋_GB2312" w:cs="仿宋_GB2312"/>
          <w:sz w:val="32"/>
          <w:szCs w:val="32"/>
        </w:rPr>
        <w:t>全域</w:t>
      </w:r>
      <w:r>
        <w:rPr>
          <w:rFonts w:hint="eastAsia" w:ascii="仿宋_GB2312" w:hAnsi="仿宋_GB2312" w:eastAsia="仿宋_GB2312" w:cs="仿宋_GB2312"/>
          <w:sz w:val="32"/>
          <w:szCs w:val="32"/>
          <w:lang w:eastAsia="zh-CN"/>
        </w:rPr>
        <w:t>、其他县（市、区）各</w:t>
      </w:r>
      <w:r>
        <w:rPr>
          <w:rFonts w:hint="eastAsia" w:ascii="仿宋_GB2312" w:hAnsi="仿宋_GB2312" w:eastAsia="仿宋_GB2312" w:cs="仿宋_GB2312"/>
          <w:sz w:val="32"/>
          <w:szCs w:val="32"/>
          <w:lang w:val="en-US" w:eastAsia="zh-CN"/>
        </w:rPr>
        <w:t>1个乡（镇）全域，开展</w:t>
      </w:r>
      <w:r>
        <w:rPr>
          <w:rFonts w:hint="eastAsia" w:ascii="仿宋_GB2312" w:hAnsi="仿宋_GB2312" w:eastAsia="仿宋_GB2312" w:cs="仿宋_GB2312"/>
          <w:sz w:val="32"/>
          <w:szCs w:val="32"/>
        </w:rPr>
        <w:t>“六个全域”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全域无垃圾、全域无污水、全域无“小广告”、全域巷道硬化、全域建设“小三园”、全域无违建和残垣断壁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试点建设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示范带动和美乡村建设提档升级。</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eastAsia="zh-CN"/>
        </w:rPr>
        <w:t>深入推进</w:t>
      </w:r>
      <w:r>
        <w:rPr>
          <w:rFonts w:hint="eastAsia" w:ascii="黑体" w:hAnsi="黑体" w:eastAsia="黑体" w:cs="黑体"/>
          <w:sz w:val="32"/>
          <w:szCs w:val="32"/>
        </w:rPr>
        <w:t>农村人居环境整治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稳步推进农村</w:t>
      </w:r>
      <w:r>
        <w:rPr>
          <w:rFonts w:hint="eastAsia" w:ascii="仿宋_GB2312" w:hAnsi="仿宋_GB2312" w:eastAsia="仿宋_GB2312" w:cs="仿宋_GB2312"/>
          <w:sz w:val="32"/>
          <w:szCs w:val="32"/>
          <w:lang w:eastAsia="zh-CN"/>
        </w:rPr>
        <w:t>厕所革命，</w:t>
      </w:r>
      <w:r>
        <w:rPr>
          <w:rFonts w:hint="eastAsia" w:ascii="仿宋_GB2312" w:hAnsi="仿宋_GB2312" w:eastAsia="仿宋_GB2312" w:cs="仿宋_GB2312"/>
          <w:sz w:val="32"/>
          <w:szCs w:val="32"/>
        </w:rPr>
        <w:t>新改造农村</w:t>
      </w:r>
      <w:r>
        <w:rPr>
          <w:rFonts w:hint="eastAsia" w:ascii="仿宋_GB2312" w:hAnsi="仿宋_GB2312" w:eastAsia="仿宋_GB2312" w:cs="仿宋_GB2312"/>
          <w:sz w:val="32"/>
          <w:szCs w:val="32"/>
          <w:lang w:eastAsia="zh-CN"/>
        </w:rPr>
        <w:t>卫生</w:t>
      </w:r>
      <w:r>
        <w:rPr>
          <w:rFonts w:hint="eastAsia" w:ascii="仿宋_GB2312" w:hAnsi="仿宋_GB2312" w:eastAsia="仿宋_GB2312" w:cs="仿宋_GB2312"/>
          <w:sz w:val="32"/>
          <w:szCs w:val="32"/>
        </w:rPr>
        <w:t>户厕8000座以上</w:t>
      </w:r>
      <w:r>
        <w:rPr>
          <w:rFonts w:hint="eastAsia" w:ascii="仿宋_GB2312" w:hAnsi="仿宋_GB2312" w:eastAsia="仿宋_GB2312" w:cs="仿宋_GB2312"/>
          <w:sz w:val="32"/>
          <w:szCs w:val="32"/>
          <w:lang w:eastAsia="zh-CN"/>
        </w:rPr>
        <w:t>，进一步</w:t>
      </w:r>
      <w:r>
        <w:rPr>
          <w:rFonts w:hint="eastAsia" w:ascii="仿宋_GB2312" w:hAnsi="仿宋_GB2312" w:eastAsia="仿宋_GB2312" w:cs="仿宋_GB2312"/>
          <w:sz w:val="32"/>
          <w:szCs w:val="32"/>
        </w:rPr>
        <w:t>健全完善农村厕所管护机制。完善农村生活垃圾收集转运处置体系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继续在每个乡镇打造农村生活垃圾治理样板村3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5个。因地制宜推进农村污水治理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因地制宜、分类施策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强化农村生活污水治理有效衔接农村厕所改造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完成361个村庄生活污水治理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开展散乱企业污水排放专项监测治理。继续实施村庄绿化“百村引领、千村提升”行动。全市完成村庄绿化植树100万株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折合造林面积2.28万亩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重点打造100个村庄绿化引领村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创建1000个村庄绿化提升村。</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加强新型业态培育发展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启动东部平原休闲田园水乡建设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完成东部平原休闲田园水乡概念性规划设计工作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东部平原</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个县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市、区</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rPr>
        <w:t>打造3个以上重点区域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发挥示范带动作用。实施乡村旅游“三个十”精品工程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在全市创建乡村旅游重点村镇10个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培育发展乡村旅游精品民宿10家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宣传推介乡村旅游精品线路3条。全年谋划推介“春观花、夏纳凉、秋采摘、冬农趣”休闲农业精品线路10条以上。进一步提升临城县国家现代农业产业园创建水平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建设核桃蛋白研发生产线1条；做好鲜食核桃消费习惯引导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利用电商平台实现鲜食核桃年销售600吨；积极探索浅山区核桃种植模式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新发展核桃酸枣间作1000亩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增加种植收益。支持威县申报国家现代农业产业园。推进农业产业强镇建设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重点抓好威县赵村镇农业产业强镇绩效评价和农业产业强镇认定工作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完成产业强镇项目投资2800万元以上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提高带动能力。</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提升乡村治理水平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楷体_GB2312" w:hAnsi="楷体_GB2312" w:eastAsia="楷体_GB2312" w:cs="楷体_GB2312"/>
          <w:b w:val="0"/>
          <w:bCs/>
          <w:color w:val="auto"/>
          <w:kern w:val="0"/>
          <w:sz w:val="32"/>
          <w:szCs w:val="32"/>
          <w:lang w:val="en-US" w:eastAsia="zh-CN" w:bidi="ar-SA"/>
        </w:rPr>
      </w:pPr>
      <w:r>
        <w:rPr>
          <w:rFonts w:hint="eastAsia" w:ascii="仿宋_GB2312" w:hAnsi="仿宋_GB2312" w:eastAsia="仿宋_GB2312" w:cs="仿宋_GB2312"/>
          <w:sz w:val="32"/>
          <w:szCs w:val="32"/>
        </w:rPr>
        <w:t>实施典型示范引领行动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培树不少于20个乡村治理典型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提升乡村治理水平。加强村志编修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统筹推进全市村志编修高质量发展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重点关注“零”村志的县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市、区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做好全国村志编修工作经验交流会“后半篇文章”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全力打造“邢台样板”升级篇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2025年实现80%的县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市、区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有村志。</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拓宽和美乡村建设资金渠道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kern w:val="2"/>
          <w:sz w:val="32"/>
          <w:szCs w:val="32"/>
          <w:u w:val="none" w:color="auto"/>
          <w:lang w:val="en-US" w:eastAsia="zh-CN" w:bidi="ar-SA"/>
        </w:rPr>
      </w:pPr>
      <w:r>
        <w:rPr>
          <w:rFonts w:hint="eastAsia" w:ascii="仿宋_GB2312" w:hAnsi="仿宋_GB2312" w:eastAsia="仿宋_GB2312" w:cs="仿宋_GB2312"/>
          <w:kern w:val="2"/>
          <w:sz w:val="32"/>
          <w:szCs w:val="32"/>
          <w:u w:val="none" w:color="auto"/>
          <w:lang w:val="en-US" w:eastAsia="zh-CN" w:bidi="ar-SA"/>
        </w:rPr>
        <w:t>坚持政府主导、群众参与、社会支持、共建共享原则。积极争取上级资金，整合涉农项目资金向和美乡村建设倾斜，巩固拓展脱贫攻坚成果衔接乡村振兴财政补助资金向和美乡村创建村聚焦。</w:t>
      </w:r>
      <w:r>
        <w:rPr>
          <w:rFonts w:hint="eastAsia" w:ascii="仿宋_GB2312" w:eastAsia="仿宋_GB2312"/>
          <w:sz w:val="32"/>
          <w:szCs w:val="32"/>
          <w:shd w:val="clear" w:color="auto" w:fill="auto"/>
        </w:rPr>
        <w:t>在防范政府债务风险的前提下，依法合规使用政府债券，用于符合条件的</w:t>
      </w:r>
      <w:r>
        <w:rPr>
          <w:rFonts w:hint="eastAsia" w:ascii="仿宋_GB2312" w:eastAsia="仿宋_GB2312"/>
          <w:sz w:val="32"/>
          <w:szCs w:val="32"/>
          <w:shd w:val="clear" w:color="auto" w:fill="auto"/>
          <w:lang w:eastAsia="zh-CN"/>
        </w:rPr>
        <w:t>和美</w:t>
      </w:r>
      <w:r>
        <w:rPr>
          <w:rFonts w:hint="eastAsia" w:ascii="仿宋_GB2312" w:eastAsia="仿宋_GB2312"/>
          <w:sz w:val="32"/>
          <w:szCs w:val="32"/>
          <w:shd w:val="clear" w:color="auto" w:fill="auto"/>
        </w:rPr>
        <w:t>乡村建设项目</w:t>
      </w:r>
      <w:r>
        <w:rPr>
          <w:rFonts w:hint="eastAsia" w:ascii="仿宋_GB2312" w:eastAsia="仿宋_GB2312"/>
          <w:sz w:val="32"/>
          <w:szCs w:val="32"/>
          <w:shd w:val="clear" w:color="auto" w:fill="auto"/>
          <w:lang w:eastAsia="zh-CN"/>
        </w:rPr>
        <w:t>。</w:t>
      </w:r>
      <w:r>
        <w:rPr>
          <w:rFonts w:hint="eastAsia" w:ascii="仿宋_GB2312" w:hAnsi="仿宋_GB2312" w:eastAsia="仿宋_GB2312" w:cs="仿宋_GB2312"/>
          <w:kern w:val="2"/>
          <w:sz w:val="32"/>
          <w:szCs w:val="32"/>
          <w:u w:val="none" w:color="auto"/>
          <w:lang w:val="en-US" w:eastAsia="zh-CN" w:bidi="ar-SA"/>
        </w:rPr>
        <w:t>同时，探索通过村企结对、部门包村等形式，鼓励本村村民、外出人员、成功人士等投身和美乡村建设，通过市场化手段拓宽资金渠道，共建和美家园。</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感谢你们对农业农村工作的关心和支持！</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482" w:firstLineChars="200"/>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leftChars="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leftChars="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2025年5月30日</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N/>
        <w:bidi w:val="0"/>
        <w:adjustRightInd/>
        <w:snapToGrid/>
        <w:spacing w:line="560" w:lineRule="exact"/>
        <w:ind w:leftChars="0" w:firstLine="643"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N/>
        <w:bidi w:val="0"/>
        <w:adjustRightInd/>
        <w:snapToGrid/>
        <w:spacing w:line="560" w:lineRule="exact"/>
        <w:ind w:leftChars="0" w:firstLine="643"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领导签发：</w:t>
      </w:r>
    </w:p>
    <w:p>
      <w:pPr>
        <w:pStyle w:val="8"/>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b w:val="0"/>
          <w:bCs w:val="0"/>
          <w:sz w:val="32"/>
          <w:szCs w:val="32"/>
        </w:rPr>
        <w:t>张兴</w:t>
      </w:r>
      <w:r>
        <w:rPr>
          <w:rFonts w:ascii="仿宋_GB2312" w:hAnsi="仿宋_GB2312" w:eastAsia="仿宋_GB2312" w:cs="仿宋_GB2312"/>
          <w:b w:val="0"/>
          <w:bCs w:val="0"/>
          <w:sz w:val="32"/>
          <w:szCs w:val="32"/>
        </w:rPr>
        <w:t xml:space="preserve">  368</w:t>
      </w:r>
      <w:r>
        <w:rPr>
          <w:rFonts w:hint="eastAsia" w:ascii="仿宋_GB2312" w:hAnsi="仿宋_GB2312" w:eastAsia="仿宋_GB2312" w:cs="仿宋_GB2312"/>
          <w:b w:val="0"/>
          <w:bCs w:val="0"/>
          <w:sz w:val="32"/>
          <w:szCs w:val="32"/>
          <w:lang w:val="en-US" w:eastAsia="zh-CN"/>
        </w:rPr>
        <w:t>1370</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b w:val="0"/>
          <w:bCs w:val="0"/>
        </w:rPr>
      </w:pPr>
      <w:r>
        <w:rPr>
          <w:rFonts w:hint="eastAsia" w:ascii="仿宋_GB2312" w:hAnsi="仿宋_GB2312" w:eastAsia="仿宋_GB2312" w:cs="仿宋_GB2312"/>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BYAAABk&#10;cnMvUEsBAhQAFAAAAAgAh07iQM6pebnPAAAABQEAAA8AAAAAAAAAAQAgAAAAOAAAAGRycy9kb3du&#10;cmV2LnhtbFBLAQIUABQAAAAIAIdO4kDNZvYQuQEAAGADAAAOAAAAAAAAAAEAIAAAADQBAABkcnMv&#10;ZTJvRG9jLnhtbFBLBQYAAAAABgAGAFkBAABfBQAAAAA=&#10;">
              <v:fill on="f" focussize="0,0"/>
              <v:stroke on="f"/>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FA734B"/>
    <w:multiLevelType w:val="singleLevel"/>
    <w:tmpl w:val="4FFA734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NzUyMzFhN2ZjYzcwYjI2NWU3MTZjYmY4ZTFjZDYifQ=="/>
  </w:docVars>
  <w:rsids>
    <w:rsidRoot w:val="00000000"/>
    <w:rsid w:val="011E1C53"/>
    <w:rsid w:val="019D7AF8"/>
    <w:rsid w:val="03234193"/>
    <w:rsid w:val="0C50326D"/>
    <w:rsid w:val="111E5F87"/>
    <w:rsid w:val="128351DA"/>
    <w:rsid w:val="186F391E"/>
    <w:rsid w:val="19DB4ABE"/>
    <w:rsid w:val="1DA530EA"/>
    <w:rsid w:val="2AFB585F"/>
    <w:rsid w:val="2D3B5C5E"/>
    <w:rsid w:val="350C1B78"/>
    <w:rsid w:val="37225683"/>
    <w:rsid w:val="38C62C7A"/>
    <w:rsid w:val="3ACB4D43"/>
    <w:rsid w:val="41271879"/>
    <w:rsid w:val="455444D1"/>
    <w:rsid w:val="53AB18D3"/>
    <w:rsid w:val="54C726F7"/>
    <w:rsid w:val="56533F02"/>
    <w:rsid w:val="56962808"/>
    <w:rsid w:val="586719F5"/>
    <w:rsid w:val="5E8D7FDA"/>
    <w:rsid w:val="600B4656"/>
    <w:rsid w:val="603E327A"/>
    <w:rsid w:val="60934A46"/>
    <w:rsid w:val="66AB2A9B"/>
    <w:rsid w:val="685A43CD"/>
    <w:rsid w:val="6FDDDA2A"/>
    <w:rsid w:val="78234B3C"/>
    <w:rsid w:val="7D1FE4A5"/>
    <w:rsid w:val="7D4A1B1A"/>
    <w:rsid w:val="7F49446D"/>
    <w:rsid w:val="7FE83081"/>
    <w:rsid w:val="BFBE1ADF"/>
    <w:rsid w:val="D9FD5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next w:val="2"/>
    <w:qFormat/>
    <w:uiPriority w:val="0"/>
    <w:pPr>
      <w:spacing w:line="480" w:lineRule="auto"/>
      <w:ind w:firstLine="643" w:firstLineChars="200"/>
    </w:pPr>
    <w:rPr>
      <w:rFonts w:ascii="宋体" w:hAnsi="宋体"/>
      <w:b/>
      <w:sz w:val="24"/>
      <w:szCs w:val="36"/>
    </w:rPr>
  </w:style>
  <w:style w:type="paragraph" w:styleId="4">
    <w:name w:val="Plain Text"/>
    <w:basedOn w:val="1"/>
    <w:next w:val="1"/>
    <w:unhideWhenUsed/>
    <w:qFormat/>
    <w:uiPriority w:val="99"/>
    <w:rPr>
      <w:rFonts w:ascii="宋体" w:hAnsi="Courier New" w:cs="黑体"/>
      <w:kern w:val="2"/>
      <w:sz w:val="21"/>
      <w:szCs w:val="21"/>
    </w:rPr>
  </w:style>
  <w:style w:type="paragraph" w:styleId="5">
    <w:name w:val="footer"/>
    <w:basedOn w:val="1"/>
    <w:next w:val="1"/>
    <w:unhideWhenUsed/>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Body Text First Indent 21"/>
    <w:basedOn w:val="12"/>
    <w:qFormat/>
    <w:uiPriority w:val="0"/>
    <w:pPr>
      <w:ind w:firstLine="420" w:firstLineChars="200"/>
    </w:pPr>
  </w:style>
  <w:style w:type="paragraph" w:customStyle="1" w:styleId="12">
    <w:name w:val="Body Text Indent1"/>
    <w:basedOn w:val="1"/>
    <w:qFormat/>
    <w:uiPriority w:val="0"/>
    <w:pPr>
      <w:spacing w:after="120" w:afterLines="0"/>
      <w:ind w:left="420" w:leftChars="200"/>
    </w:pPr>
    <w:rPr>
      <w:rFonts w:ascii="Times New Roman" w:hAnsi="Times New Roman"/>
    </w:rPr>
  </w:style>
  <w:style w:type="paragraph" w:customStyle="1" w:styleId="13">
    <w:name w:val="纯文本1"/>
    <w:basedOn w:val="1"/>
    <w:qFormat/>
    <w:uiPriority w:val="0"/>
    <w:rPr>
      <w:rFonts w:ascii="宋体" w:hAnsi="Courier New" w:cs="Courier New"/>
      <w:szCs w:val="21"/>
    </w:rPr>
  </w:style>
  <w:style w:type="character" w:customStyle="1" w:styleId="14">
    <w:name w:val="UserStyle_5"/>
    <w:link w:val="15"/>
    <w:semiHidden/>
    <w:qFormat/>
    <w:uiPriority w:val="0"/>
    <w:rPr>
      <w:rFonts w:ascii="宋体" w:hAnsi="宋体" w:eastAsia="宋体" w:cs="Times New Roman"/>
      <w:sz w:val="24"/>
      <w:szCs w:val="36"/>
      <w:lang w:val="en-US" w:eastAsia="zh-CN" w:bidi="ar-SA"/>
    </w:rPr>
  </w:style>
  <w:style w:type="paragraph" w:customStyle="1" w:styleId="15">
    <w:name w:val="UserStyle_6"/>
    <w:link w:val="14"/>
    <w:qFormat/>
    <w:uiPriority w:val="0"/>
    <w:pPr>
      <w:spacing w:beforeAutospacing="0" w:after="120" w:afterAutospacing="0" w:line="480" w:lineRule="auto"/>
      <w:ind w:left="420" w:leftChars="200" w:firstLine="420" w:firstLineChars="200"/>
      <w:jc w:val="both"/>
    </w:pPr>
    <w:rPr>
      <w:rFonts w:ascii="宋体" w:hAnsi="宋体" w:eastAsia="宋体" w:cs="Times New Roman"/>
      <w:sz w:val="24"/>
      <w:szCs w:val="36"/>
      <w:lang w:val="en-US" w:eastAsia="zh-CN" w:bidi="ar-SA"/>
    </w:rPr>
  </w:style>
  <w:style w:type="character" w:customStyle="1" w:styleId="16">
    <w:name w:val="NormalCharacter"/>
    <w:link w:val="17"/>
    <w:qFormat/>
    <w:uiPriority w:val="0"/>
    <w:rPr>
      <w:rFonts w:ascii="宋体" w:hAnsi="宋体" w:eastAsia="宋体" w:cs="Times New Roman"/>
      <w:sz w:val="24"/>
      <w:szCs w:val="36"/>
      <w:lang w:val="en-US" w:eastAsia="zh-CN" w:bidi="ar-SA"/>
    </w:rPr>
  </w:style>
  <w:style w:type="paragraph" w:customStyle="1" w:styleId="17">
    <w:name w:val="UserStyle_2"/>
    <w:link w:val="16"/>
    <w:qFormat/>
    <w:uiPriority w:val="0"/>
    <w:pPr>
      <w:spacing w:after="120" w:line="480" w:lineRule="auto"/>
      <w:ind w:left="420" w:leftChars="200" w:firstLine="420" w:firstLineChars="200"/>
      <w:jc w:val="both"/>
      <w:textAlignment w:val="baseline"/>
    </w:pPr>
    <w:rPr>
      <w:rFonts w:ascii="宋体" w:hAnsi="宋体" w:eastAsia="宋体" w:cs="Times New Roman"/>
      <w:sz w:val="24"/>
      <w:szCs w:val="36"/>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1428</Words>
  <Characters>1449</Characters>
  <Lines>0</Lines>
  <Paragraphs>0</Paragraphs>
  <TotalTime>5</TotalTime>
  <ScaleCrop>false</ScaleCrop>
  <LinksUpToDate>false</LinksUpToDate>
  <CharactersWithSpaces>1577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2024-04-29T00:33:00Z</dcterms:created>
  <dc:creator>Administrator</dc:creator>
  <cp:lastModifiedBy>ncj</cp:lastModifiedBy>
  <cp:lastPrinted>2025-07-04T10:12:10Z</cp:lastPrinted>
  <dcterms:modified xsi:type="dcterms:W3CDTF">2025-07-04T10:13:58Z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569136C9C0A04B6AA2ECE557043865BA_12</vt:lpwstr>
  </property>
  <property fmtid="{D5CDD505-2E9C-101B-9397-08002B2CF9AE}" pid="4" name="KSOTemplateDocerSaveRecord">
    <vt:lpwstr>eyJoZGlkIjoiOWZhNzUyMzFhN2ZjYzcwYjI2NWU3MTZjYmY4ZTFjZDYiLCJ1c2VySWQiOiI0NDU0OTQzNTcifQ==</vt:lpwstr>
  </property>
</Properties>
</file>