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pStyle w:val="19"/>
        <w:keepNext w:val="0"/>
        <w:keepLines w:val="0"/>
        <w:pageBreakBefore w:val="0"/>
        <w:widowControl w:val="0"/>
        <w:kinsoku/>
        <w:wordWrap/>
        <w:overflowPunct/>
        <w:topLinePunct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是否同意公开：</w:t>
      </w:r>
      <w:r>
        <w:rPr>
          <w:rFonts w:hint="eastAsia" w:ascii="仿宋_GB2312" w:hAnsi="仿宋_GB2312" w:eastAsia="仿宋_GB2312" w:cs="仿宋_GB2312"/>
          <w:sz w:val="32"/>
          <w:szCs w:val="32"/>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center"/>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t>号</w:t>
      </w:r>
    </w:p>
    <w:p>
      <w:pPr>
        <w:pStyle w:val="4"/>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第三次会议第76号提案的答复</w:t>
      </w:r>
    </w:p>
    <w:p>
      <w:pPr>
        <w:keepNext w:val="0"/>
        <w:keepLines w:val="0"/>
        <w:pageBreakBefore w:val="0"/>
        <w:widowControl w:val="0"/>
        <w:kinsoku/>
        <w:wordWrap/>
        <w:overflowPunct/>
        <w:topLinePunct w:val="0"/>
        <w:autoSpaceDE/>
        <w:autoSpaceDN/>
        <w:bidi w:val="0"/>
        <w:adjustRightInd/>
        <w:snapToGrid/>
        <w:spacing w:line="560" w:lineRule="exact"/>
        <w:ind w:right="0" w:firstLine="1440" w:firstLineChars="450"/>
        <w:jc w:val="left"/>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曲俊旺委员</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eastAsia"/>
          <w:lang w:val="zh-CN"/>
        </w:rPr>
      </w:pPr>
      <w:r>
        <w:rPr>
          <w:rFonts w:hint="eastAsia" w:ascii="仿宋_GB2312" w:hAnsi="仿宋_GB2312" w:eastAsia="仿宋_GB2312" w:cs="仿宋_GB2312"/>
          <w:color w:val="auto"/>
          <w:sz w:val="32"/>
          <w:szCs w:val="32"/>
          <w:lang w:val="en-US" w:eastAsia="zh-CN"/>
        </w:rPr>
        <w:t>您</w:t>
      </w:r>
      <w:r>
        <w:rPr>
          <w:rFonts w:hint="eastAsia" w:ascii="仿宋_GB2312" w:hAnsi="仿宋_GB2312" w:eastAsia="仿宋_GB2312" w:cs="仿宋_GB2312"/>
          <w:color w:val="auto"/>
          <w:sz w:val="32"/>
          <w:szCs w:val="32"/>
        </w:rPr>
        <w:t>提出的“</w:t>
      </w:r>
      <w:r>
        <w:rPr>
          <w:rFonts w:hint="eastAsia" w:ascii="仿宋_GB2312" w:hAnsi="仿宋_GB2312" w:eastAsia="仿宋_GB2312" w:cs="仿宋_GB2312"/>
          <w:color w:val="auto"/>
          <w:sz w:val="32"/>
          <w:szCs w:val="32"/>
          <w:lang w:eastAsia="zh-CN"/>
        </w:rPr>
        <w:t>发展地方特色的‘现代农业’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的提案</w:t>
      </w:r>
      <w:r>
        <w:rPr>
          <w:rFonts w:hint="eastAsia" w:ascii="仿宋_GB2312" w:hAnsi="仿宋_GB2312" w:eastAsia="仿宋_GB2312" w:cs="仿宋_GB2312"/>
          <w:color w:val="auto"/>
          <w:sz w:val="32"/>
          <w:szCs w:val="32"/>
        </w:rPr>
        <w:t>收悉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近年来，我市立足新发展阶段，贯彻新发展理念，</w:t>
      </w:r>
      <w:r>
        <w:rPr>
          <w:rFonts w:hint="eastAsia" w:ascii="仿宋_GB2312" w:eastAsia="仿宋_GB2312" w:cs="宋体"/>
          <w:color w:val="auto"/>
          <w:sz w:val="32"/>
          <w:szCs w:val="32"/>
          <w:lang w:val="en-US" w:eastAsia="zh-CN"/>
        </w:rPr>
        <w:t>在确保粮食安全的基础上，</w:t>
      </w:r>
      <w:r>
        <w:rPr>
          <w:rFonts w:hint="eastAsia" w:ascii="仿宋_GB2312" w:hAnsi="仿宋_GB2312" w:eastAsia="仿宋_GB2312" w:cs="仿宋_GB2312"/>
          <w:color w:val="auto"/>
          <w:sz w:val="32"/>
          <w:szCs w:val="32"/>
          <w:lang w:val="en-US" w:eastAsia="zh-CN"/>
        </w:rPr>
        <w:t>积极发展特色优势产业</w:t>
      </w:r>
      <w:r>
        <w:rPr>
          <w:rFonts w:hint="eastAsia" w:ascii="仿宋_GB2312" w:hAnsi="仿宋_GB2312" w:eastAsia="仿宋_GB2312" w:cs="仿宋_GB2312"/>
          <w:color w:val="auto"/>
          <w:sz w:val="32"/>
          <w:szCs w:val="32"/>
          <w:lang w:eastAsia="zh-CN"/>
        </w:rPr>
        <w:t>，通过</w:t>
      </w:r>
      <w:r>
        <w:rPr>
          <w:rFonts w:hint="eastAsia" w:ascii="仿宋_GB2312" w:hAnsi="仿宋_GB2312" w:eastAsia="仿宋_GB2312" w:cs="仿宋_GB2312"/>
          <w:color w:val="auto"/>
          <w:sz w:val="32"/>
          <w:szCs w:val="32"/>
          <w:lang w:val="en-US" w:eastAsia="zh-CN"/>
        </w:rPr>
        <w:t>规划引领、装备提升、科技支撑、带动龙头、品牌培育等持续推动特色产业做大做强，为推动乡村产业振兴奠定坚实基础。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突出规划引领，优化产业布局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sectPr>
          <w:pgSz w:w="11906" w:h="16838"/>
          <w:pgMar w:top="2098" w:right="1531" w:bottom="1984" w:left="1531" w:header="851" w:footer="1701" w:gutter="0"/>
          <w:pgNumType w:fmt="numberInDash" w:start="2"/>
          <w:cols w:space="720" w:num="1"/>
          <w:rtlGutter w:val="0"/>
          <w:docGrid w:type="lines" w:linePitch="312" w:charSpace="0"/>
        </w:sectPr>
      </w:pPr>
      <w:r>
        <w:rPr>
          <w:rFonts w:hint="eastAsia" w:ascii="仿宋_GB2312" w:hAnsi="仿宋_GB2312" w:eastAsia="仿宋_GB2312" w:cs="仿宋_GB2312"/>
          <w:color w:val="auto"/>
          <w:sz w:val="32"/>
          <w:szCs w:val="32"/>
          <w:lang w:val="en-US" w:eastAsia="zh-CN"/>
        </w:rPr>
        <w:t>研究制定了《邢台市“十四五”推进农业农村现代化规划》，着力构建农业产业“一圈、三区”发展格局，即环市区都市型现代农业圈、西部太行山山地高效特色农业区、中部山前平原粮食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生产区和东部黑龙港流域复合生产区。环市区都市型现代农业圈，以环邢台市区周边县（区）为主，依托城市、服务城市，加快补齐环城周边现代农业园区等服务短板，充分挖掘农业休闲娱乐、农事体验、农业教育等生活、生态功能，培育农业发展新业态。西部太行山山地高效特色农业区，以4个西部山区县（市、区）为主，突出发展优质苹果、薄皮核桃、太行板栗三大优势果品产业，扩大王不留行、酸枣仁、知母、柴胡等优势中药材品种的规模化种植。中部山前平原粮食生产区，为京广铁路以东、滏阳河以西的山前平原区，坚持稳定粮食生产，提升农业机械化水平，大力发展生产服务型组织，稳定提升粮食生产能力，适度发展高效蔬菜、水果、金银花等特色产业。东部黑龙港流域复合生产区，重点打造农业节水综合示范区，发展优质果品、精品蔬菜、优质粮食、中药材及饲草等节水高效作物和特色杂粮，调整养殖布局，有序发展生猪、肉鸡、蛋鸡、奶牛等产业。</w:t>
      </w:r>
    </w:p>
    <w:p>
      <w:pPr>
        <w:keepNext w:val="0"/>
        <w:keepLines w:val="0"/>
        <w:pageBreakBefore w:val="0"/>
        <w:widowControl w:val="0"/>
        <w:numPr>
          <w:ilvl w:val="0"/>
          <w:numId w:val="1"/>
        </w:numPr>
        <w:kinsoku/>
        <w:wordWrap/>
        <w:overflowPunct/>
        <w:topLinePunct w:val="0"/>
        <w:bidi w:val="0"/>
        <w:spacing w:line="560" w:lineRule="exact"/>
        <w:ind w:left="0" w:leftChars="0"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强化科技创新，提升装备水平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3"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搭建农业科技转化示范平台。</w:t>
      </w:r>
      <w:r>
        <w:rPr>
          <w:rFonts w:hint="eastAsia" w:ascii="仿宋_GB2312" w:eastAsia="仿宋_GB2312" w:cs="仿宋_GB2312"/>
          <w:color w:val="auto"/>
          <w:sz w:val="32"/>
          <w:szCs w:val="32"/>
          <w:lang w:val="en-US" w:eastAsia="zh-CN"/>
        </w:rPr>
        <w:t>积极对接全省</w:t>
      </w:r>
      <w:r>
        <w:rPr>
          <w:rFonts w:hint="eastAsia" w:ascii="仿宋_GB2312" w:eastAsia="仿宋_GB2312" w:cs="仿宋_GB2312"/>
          <w:color w:val="000000"/>
          <w:sz w:val="32"/>
          <w:szCs w:val="32"/>
          <w:lang w:val="en-US" w:eastAsia="zh-CN"/>
        </w:rPr>
        <w:t>23个现代农业产业技术体系创新团队，加强小麦、中药材、食用菌（平菇）、棉花、蛋鸡（肉鸡）、油料、桃、苹果、梨、蔬菜10个市级综合试验推广站建设。深化校地合作，</w:t>
      </w:r>
      <w:r>
        <w:rPr>
          <w:rFonts w:hint="eastAsia" w:ascii="仿宋_GB2312" w:hAnsi="仿宋_GB2312" w:eastAsia="仿宋_GB2312" w:cs="仿宋_GB2312"/>
          <w:sz w:val="32"/>
          <w:szCs w:val="32"/>
        </w:rPr>
        <w:t>打造</w:t>
      </w:r>
      <w:r>
        <w:rPr>
          <w:rFonts w:hint="eastAsia" w:ascii="仿宋_GB2312" w:hAnsi="仿宋_GB2312" w:eastAsia="仿宋_GB2312" w:cs="仿宋_GB2312"/>
          <w:sz w:val="32"/>
          <w:szCs w:val="32"/>
          <w:lang w:val="en-US" w:eastAsia="zh-CN"/>
        </w:rPr>
        <w:t>38个省级</w:t>
      </w:r>
      <w:r>
        <w:rPr>
          <w:rFonts w:hint="eastAsia" w:ascii="仿宋_GB2312" w:hAnsi="仿宋_GB2312" w:eastAsia="仿宋_GB2312" w:cs="仿宋_GB2312"/>
          <w:sz w:val="32"/>
          <w:szCs w:val="32"/>
        </w:rPr>
        <w:t>农业科技创新驿站，成为农业科技创新要素聚集地、科技成果转化示范园和特色产业发展引领区。</w:t>
      </w:r>
      <w:r>
        <w:rPr>
          <w:rFonts w:hint="eastAsia" w:ascii="仿宋_GB2312" w:hAnsi="仿宋_GB2312" w:eastAsia="仿宋_GB2312" w:cs="仿宋_GB2312"/>
          <w:sz w:val="32"/>
          <w:szCs w:val="32"/>
          <w:lang w:eastAsia="zh-CN"/>
        </w:rPr>
        <w:t>如威县农业创新驿站</w:t>
      </w:r>
      <w:r>
        <w:rPr>
          <w:rFonts w:hint="eastAsia" w:ascii="仿宋_GB2312" w:hAnsi="仿宋_GB2312" w:eastAsia="仿宋_GB2312" w:cs="仿宋_GB2312"/>
          <w:sz w:val="32"/>
          <w:szCs w:val="32"/>
        </w:rPr>
        <w:t>通过制定产品质量标准、</w:t>
      </w:r>
      <w:r>
        <w:rPr>
          <w:rFonts w:hint="eastAsia" w:ascii="仿宋_GB2312" w:hAnsi="仿宋_GB2312" w:eastAsia="仿宋_GB2312" w:cs="仿宋_GB2312"/>
          <w:sz w:val="32"/>
          <w:szCs w:val="32"/>
          <w:lang w:eastAsia="zh-CN"/>
        </w:rPr>
        <w:t>品牌</w:t>
      </w:r>
      <w:r>
        <w:rPr>
          <w:rFonts w:hint="eastAsia" w:ascii="仿宋_GB2312" w:hAnsi="仿宋_GB2312" w:eastAsia="仿宋_GB2312" w:cs="仿宋_GB2312"/>
          <w:sz w:val="32"/>
          <w:szCs w:val="32"/>
        </w:rPr>
        <w:t>设计和营销推介等方式，扩大“威梨”品牌影响力</w:t>
      </w:r>
      <w:r>
        <w:rPr>
          <w:rFonts w:hint="eastAsia" w:ascii="仿宋_GB2312" w:hAnsi="仿宋_GB2312" w:eastAsia="仿宋_GB2312" w:cs="仿宋_GB2312"/>
          <w:sz w:val="32"/>
          <w:szCs w:val="32"/>
          <w:lang w:eastAsia="zh-CN"/>
        </w:rPr>
        <w:t>。“梨树营养特性及化肥减施增效技术研究与示范”成果获2021年农业农村</w:t>
      </w:r>
      <w:r>
        <w:rPr>
          <w:rFonts w:hint="eastAsia" w:ascii="仿宋_GB2312" w:hAnsi="仿宋_GB2312" w:eastAsia="仿宋_GB2312" w:cs="仿宋_GB2312"/>
          <w:color w:val="auto"/>
          <w:sz w:val="32"/>
          <w:szCs w:val="32"/>
          <w:lang w:eastAsia="zh-CN"/>
        </w:rPr>
        <w:t>部中华农业科技二等奖，“梨品质形成机理及优质高效关键技术”成果获2021年河北省科技进步二等奖。</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开展农业新技术示范推广。通</w:t>
      </w:r>
      <w:r>
        <w:rPr>
          <w:rFonts w:hint="eastAsia" w:ascii="仿宋_GB2312" w:hAnsi="仿宋_GB2312" w:eastAsia="仿宋_GB2312" w:cs="仿宋_GB2312"/>
          <w:sz w:val="32"/>
          <w:szCs w:val="32"/>
          <w:lang w:val="en-US" w:eastAsia="zh-CN"/>
        </w:rPr>
        <w:t>过试验示范，大力推广农业新技术、新品种，“马兰一号”创下我省小麦亩单产历史新高，粮食作物良种覆盖率稳定在98%以上。</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大力发展智慧农业。</w:t>
      </w:r>
      <w:r>
        <w:rPr>
          <w:rFonts w:hint="eastAsia" w:ascii="仿宋_GB2312" w:hAnsi="仿宋_GB2312" w:eastAsia="仿宋_GB2312" w:cs="仿宋_GB2312"/>
          <w:b w:val="0"/>
          <w:bCs w:val="0"/>
          <w:color w:val="auto"/>
          <w:sz w:val="32"/>
          <w:szCs w:val="32"/>
          <w:lang w:eastAsia="zh-CN"/>
        </w:rPr>
        <w:t>实施了</w:t>
      </w:r>
      <w:r>
        <w:rPr>
          <w:rFonts w:hint="eastAsia" w:ascii="仿宋_GB2312" w:hAnsi="仿宋_GB2312" w:eastAsia="仿宋_GB2312" w:cs="仿宋_GB2312"/>
          <w:b w:val="0"/>
          <w:bCs w:val="0"/>
          <w:color w:val="auto"/>
          <w:sz w:val="32"/>
          <w:szCs w:val="32"/>
          <w:lang w:val="en-US" w:eastAsia="zh-CN"/>
        </w:rPr>
        <w:t>7个</w:t>
      </w:r>
      <w:r>
        <w:rPr>
          <w:rFonts w:hint="eastAsia" w:ascii="仿宋_GB2312" w:hAnsi="仿宋_GB2312" w:eastAsia="仿宋_GB2312" w:cs="仿宋_GB2312"/>
          <w:b w:val="0"/>
          <w:bCs w:val="0"/>
          <w:color w:val="auto"/>
          <w:sz w:val="32"/>
          <w:szCs w:val="32"/>
          <w:lang w:eastAsia="zh-CN"/>
        </w:rPr>
        <w:t>省级智慧农业示范项目</w:t>
      </w:r>
      <w:r>
        <w:rPr>
          <w:rFonts w:hint="eastAsia" w:ascii="仿宋_GB2312" w:hAnsi="仿宋_GB2312" w:eastAsia="仿宋_GB2312" w:cs="仿宋_GB2312"/>
          <w:b w:val="0"/>
          <w:bCs w:val="0"/>
          <w:color w:val="auto"/>
          <w:sz w:val="32"/>
          <w:szCs w:val="32"/>
          <w:lang w:val="en-US" w:eastAsia="zh-CN"/>
        </w:rPr>
        <w:t>，其中3个“互联网+”农产品出村进城试点县项目、4个智慧农业示范项目，有力地带动了全市农业信息化水平的提高。</w:t>
      </w:r>
      <w:r>
        <w:rPr>
          <w:rFonts w:hint="eastAsia" w:ascii="仿宋_GB2312" w:hAnsi="仿宋_GB2312" w:eastAsia="仿宋_GB2312" w:cs="仿宋_GB2312"/>
          <w:color w:val="auto"/>
          <w:sz w:val="32"/>
          <w:szCs w:val="32"/>
          <w:lang w:val="en-US" w:eastAsia="zh-CN"/>
        </w:rPr>
        <w:t>宁晋县结合农业产业集</w:t>
      </w:r>
      <w:r>
        <w:rPr>
          <w:rFonts w:hint="eastAsia" w:ascii="仿宋_GB2312" w:hAnsi="仿宋_GB2312" w:eastAsia="仿宋_GB2312" w:cs="仿宋_GB2312"/>
          <w:b w:val="0"/>
          <w:bCs w:val="0"/>
          <w:color w:val="auto"/>
          <w:sz w:val="32"/>
          <w:szCs w:val="32"/>
          <w:lang w:val="en-US" w:eastAsia="zh-CN"/>
        </w:rPr>
        <w:t>群优势特点，建成梨产业智慧农业示范区2个；临西县打造了蔬菜智慧农业应用示范基地。</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完善产业链条，密切利益联结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3" w:firstLineChars="200"/>
        <w:jc w:val="left"/>
        <w:textAlignment w:val="auto"/>
        <w:rPr>
          <w:rFonts w:hint="default" w:ascii="仿宋_GB2312" w:hAnsi="仿宋_GB2312" w:eastAsia="仿宋_GB2312" w:cs="仿宋_GB2312"/>
          <w:b w:val="0"/>
          <w:i w:val="0"/>
          <w:caps w:val="0"/>
          <w:color w:val="000000"/>
          <w:spacing w:val="0"/>
          <w:sz w:val="32"/>
          <w:szCs w:val="32"/>
          <w:shd w:val="clear" w:color="auto" w:fill="FFFFFF"/>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发展农产品加工业。扎实开展市级龙头企业申报监测，培育一批成长型市级龙</w:t>
      </w:r>
      <w:r>
        <w:rPr>
          <w:rFonts w:hint="eastAsia" w:ascii="仿宋_GB2312" w:hAnsi="仿宋_GB2312" w:eastAsia="仿宋_GB2312" w:cs="仿宋_GB2312"/>
          <w:b w:val="0"/>
          <w:i w:val="0"/>
          <w:caps w:val="0"/>
          <w:color w:val="000000"/>
          <w:spacing w:val="0"/>
          <w:sz w:val="32"/>
          <w:szCs w:val="32"/>
          <w:shd w:val="clear" w:color="auto" w:fill="FFFFFF"/>
          <w:lang w:val="en-US" w:eastAsia="zh-CN"/>
        </w:rPr>
        <w:t>头企业，并按照省级龙头企业标准进行打造。截至目前，全市拥有省级农业产业化重点龙头企业102家。农业产业化龙头企业规模持续扩大，年销售额 (交易额)超百亿的企业达到3家、年销售额(交易额)超十亿元企业达到9家。</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i w:val="0"/>
          <w:caps w:val="0"/>
          <w:color w:val="000000"/>
          <w:spacing w:val="0"/>
          <w:sz w:val="32"/>
          <w:szCs w:val="32"/>
          <w:shd w:val="clear" w:color="auto" w:fill="FFFFFF"/>
          <w:lang w:val="en-US" w:eastAsia="zh-CN"/>
        </w:rPr>
        <w:t>发展农业新业态。</w:t>
      </w:r>
      <w:r>
        <w:rPr>
          <w:rFonts w:hint="eastAsia" w:ascii="仿宋_GB2312" w:hAnsi="仿宋_GB2312" w:eastAsia="仿宋_GB2312" w:cs="仿宋_GB2312"/>
          <w:color w:val="auto"/>
          <w:sz w:val="32"/>
          <w:szCs w:val="32"/>
          <w:lang w:val="en-US" w:eastAsia="zh-CN"/>
        </w:rPr>
        <w:t>全市</w:t>
      </w:r>
      <w:r>
        <w:rPr>
          <w:rFonts w:hint="default" w:ascii="仿宋_GB2312" w:hAnsi="仿宋_GB2312" w:eastAsia="仿宋_GB2312" w:cs="仿宋_GB2312"/>
          <w:color w:val="auto"/>
          <w:sz w:val="32"/>
          <w:szCs w:val="32"/>
          <w:lang w:val="en-US" w:eastAsia="zh-CN"/>
        </w:rPr>
        <w:t>拥有国家级美丽休闲乡村6个，省级美丽休闲乡村17个</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沙河仲夏纳凉生态游路线成功入选2022中国美丽乡村休闲旅行精品线路景点，</w:t>
      </w:r>
      <w:r>
        <w:rPr>
          <w:rFonts w:hint="eastAsia" w:ascii="仿宋_GB2312" w:hAnsi="仿宋_GB2312" w:eastAsia="仿宋_GB2312" w:cs="仿宋_GB2312"/>
          <w:color w:val="auto"/>
          <w:sz w:val="32"/>
          <w:szCs w:val="32"/>
          <w:lang w:val="en-US" w:eastAsia="zh-CN"/>
        </w:rPr>
        <w:t>全</w:t>
      </w:r>
      <w:r>
        <w:rPr>
          <w:rFonts w:hint="default" w:ascii="仿宋_GB2312" w:hAnsi="仿宋_GB2312" w:eastAsia="仿宋_GB2312" w:cs="仿宋_GB2312"/>
          <w:color w:val="auto"/>
          <w:sz w:val="32"/>
          <w:szCs w:val="32"/>
          <w:lang w:val="en-US" w:eastAsia="zh-CN"/>
        </w:rPr>
        <w:t>省唯一。</w:t>
      </w:r>
      <w:r>
        <w:rPr>
          <w:rStyle w:val="17"/>
          <w:rFonts w:hint="eastAsia" w:ascii="仿宋_GB2312" w:hAnsi="仿宋_GB2312" w:eastAsia="仿宋_GB2312" w:cs="仿宋_GB2312"/>
          <w:kern w:val="0"/>
          <w:sz w:val="32"/>
          <w:szCs w:val="32"/>
          <w:lang w:val="en-US" w:eastAsia="zh-CN"/>
        </w:rPr>
        <w:t>全市休闲农业和乡村旅游接待游客1200余万人次，实现收入近30亿元，带动就业人数6.33万人。</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i w:val="0"/>
          <w:caps w:val="0"/>
          <w:color w:val="000000"/>
          <w:spacing w:val="0"/>
          <w:sz w:val="32"/>
          <w:szCs w:val="32"/>
          <w:shd w:val="clear" w:color="auto" w:fill="FFFFFF"/>
          <w:lang w:val="en-US" w:eastAsia="zh-CN"/>
        </w:rPr>
        <w:t>密切利益联结。鼓励引导龙头企业与生产基地对接、与农民合作社和家庭农场建立紧密利益联结机制，培育了107家以龙头企业为核心市级以上示范农业产业化联合体，其中省级农业产业化联合体33家。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强化质量建设，做好品牌建设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3" w:firstLineChars="200"/>
        <w:textAlignment w:val="auto"/>
        <w:rPr>
          <w:rFonts w:hint="eastAsia"/>
          <w:lang w:val="en-US" w:eastAsia="zh-CN"/>
        </w:rPr>
      </w:pPr>
      <w:r>
        <w:rPr>
          <w:rFonts w:hint="eastAsia" w:ascii="仿宋_GB2312" w:eastAsia="仿宋_GB2312"/>
          <w:b/>
          <w:bCs/>
          <w:kern w:val="44"/>
          <w:sz w:val="32"/>
          <w:szCs w:val="32"/>
          <w:lang w:eastAsia="zh-CN"/>
        </w:rPr>
        <w:t>一是</w:t>
      </w:r>
      <w:r>
        <w:rPr>
          <w:rFonts w:hint="eastAsia" w:ascii="仿宋_GB2312" w:hAnsi="仿宋_GB2312" w:eastAsia="仿宋_GB2312" w:cs="仿宋_GB2312"/>
          <w:b w:val="0"/>
          <w:bCs w:val="0"/>
          <w:color w:val="auto"/>
          <w:kern w:val="2"/>
          <w:sz w:val="32"/>
          <w:szCs w:val="32"/>
          <w:highlight w:val="none"/>
          <w:u w:val="none" w:color="auto"/>
          <w:lang w:val="en-US" w:eastAsia="zh-CN" w:bidi="ar-SA"/>
        </w:rPr>
        <w:t>实施“质量兴农”战略。开展农产品质量安全对标行动，全市</w:t>
      </w:r>
      <w:r>
        <w:rPr>
          <w:rFonts w:hint="eastAsia" w:ascii="仿宋_GB2312" w:hAnsi="仿宋_GB2312" w:eastAsia="仿宋_GB2312" w:cs="仿宋_GB2312"/>
          <w:kern w:val="0"/>
          <w:sz w:val="32"/>
          <w:szCs w:val="32"/>
          <w:lang w:eastAsia="zh-CN"/>
        </w:rPr>
        <w:t>农业标准化生产覆盖率达到</w:t>
      </w:r>
      <w:r>
        <w:rPr>
          <w:rFonts w:hint="eastAsia" w:ascii="仿宋_GB2312" w:hAnsi="仿宋_GB2312" w:eastAsia="仿宋_GB2312" w:cs="仿宋_GB2312"/>
          <w:kern w:val="0"/>
          <w:sz w:val="32"/>
          <w:szCs w:val="32"/>
          <w:lang w:val="en-US" w:eastAsia="zh-CN"/>
        </w:rPr>
        <w:t>77.92</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开展了河北富岗食品有限责任公司、河北凤归巢生态农</w:t>
      </w:r>
      <w:r>
        <w:rPr>
          <w:rFonts w:hint="eastAsia" w:ascii="仿宋_GB2312" w:hAnsi="仿宋_GB2312" w:eastAsia="仿宋_GB2312" w:cs="仿宋_GB2312"/>
          <w:b w:val="0"/>
          <w:bCs w:val="0"/>
          <w:color w:val="auto"/>
          <w:kern w:val="2"/>
          <w:sz w:val="32"/>
          <w:szCs w:val="32"/>
          <w:highlight w:val="none"/>
          <w:u w:val="none" w:color="auto"/>
          <w:lang w:val="en-US" w:eastAsia="zh-CN" w:bidi="ar-SA"/>
        </w:rPr>
        <w:t>业开发有限公司2个绿色优质农产品全产业链标准化试点项目创建，全市“两品一标”认证企业或主体108家，认证产品208个，依托省平台开展电子追溯主体数量达到1473家。</w:t>
      </w:r>
      <w:r>
        <w:rPr>
          <w:rFonts w:hint="eastAsia" w:ascii="仿宋_GB2312" w:eastAsia="仿宋_GB2312"/>
          <w:b/>
          <w:bCs/>
          <w:kern w:val="44"/>
          <w:sz w:val="32"/>
          <w:szCs w:val="32"/>
          <w:lang w:val="en-US" w:eastAsia="zh-CN"/>
        </w:rPr>
        <w:t>二是</w:t>
      </w:r>
      <w:r>
        <w:rPr>
          <w:rFonts w:hint="eastAsia" w:ascii="仿宋_GB2312" w:hAnsi="仿宋_GB2312" w:eastAsia="仿宋_GB2312" w:cs="仿宋_GB2312"/>
          <w:b w:val="0"/>
          <w:bCs w:val="0"/>
          <w:color w:val="auto"/>
          <w:kern w:val="2"/>
          <w:sz w:val="32"/>
          <w:szCs w:val="32"/>
          <w:highlight w:val="none"/>
          <w:u w:val="none" w:color="auto"/>
          <w:lang w:val="en-US" w:eastAsia="zh-CN" w:bidi="ar-SA"/>
        </w:rPr>
        <w:t>强化品牌培育。以农产品区域公用品牌和领军企业品牌为重点,培树了一批特色鲜明的“邢</w:t>
      </w:r>
      <w:r>
        <w:rPr>
          <w:rFonts w:hint="eastAsia" w:ascii="仿宋_GB2312" w:hAnsi="仿宋_GB2312" w:eastAsia="仿宋_GB2312" w:cs="仿宋_GB2312"/>
          <w:b w:val="0"/>
          <w:bCs w:val="0"/>
          <w:color w:val="auto"/>
          <w:sz w:val="32"/>
          <w:szCs w:val="32"/>
          <w:lang w:val="en-US" w:eastAsia="zh-CN"/>
        </w:rPr>
        <w:t>”字号农业品牌，基本形成了“突出重点、分级推进、带动全局”的品牌建设新格局。2022年8月18日，在广州市成功举办了邢台酸枣仁品牌宣传推介会。截至目前，全市拥有今麦郎、</w:t>
      </w:r>
      <w:r>
        <w:rPr>
          <w:rFonts w:hint="default" w:ascii="仿宋_GB2312" w:hAnsi="仿宋_GB2312" w:eastAsia="仿宋_GB2312" w:cs="仿宋_GB2312"/>
          <w:b w:val="0"/>
          <w:bCs w:val="0"/>
          <w:color w:val="auto"/>
          <w:sz w:val="32"/>
          <w:szCs w:val="32"/>
          <w:lang w:val="en-US" w:eastAsia="zh-CN"/>
        </w:rPr>
        <w:t>金沙河、玉锋</w:t>
      </w:r>
      <w:r>
        <w:rPr>
          <w:rFonts w:hint="eastAsia" w:ascii="仿宋_GB2312" w:hAnsi="仿宋_GB2312" w:eastAsia="仿宋_GB2312" w:cs="仿宋_GB2312"/>
          <w:b w:val="0"/>
          <w:bCs w:val="0"/>
          <w:color w:val="auto"/>
          <w:sz w:val="32"/>
          <w:szCs w:val="32"/>
          <w:lang w:val="en-US" w:eastAsia="zh-CN"/>
        </w:rPr>
        <w:t>等13个涉农驰名商标、14个省级区域公用农产品品牌，打造了10个国家地理标志农产品。</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sz w:val="32"/>
          <w:szCs w:val="32"/>
          <w:lang w:val="en-US" w:eastAsia="zh-CN"/>
        </w:rPr>
        <w:t>开展品牌宣传。</w:t>
      </w:r>
      <w:r>
        <w:rPr>
          <w:rFonts w:hint="eastAsia" w:ascii="仿宋_GB2312" w:hAnsi="仿宋_GB2312" w:eastAsia="仿宋_GB2312" w:cs="仿宋_GB2312"/>
          <w:b w:val="0"/>
          <w:bCs w:val="0"/>
          <w:color w:val="auto"/>
          <w:sz w:val="32"/>
          <w:szCs w:val="32"/>
          <w:lang w:val="en-US" w:eastAsia="zh-CN"/>
        </w:rPr>
        <w:t>利用公交车身张贴广告、公交站牌、大型商场投放广告宣传片、报纸宣传、电视广告、新媒体等途径宣传推介我市农业品牌形象。同时在北京西站候车厅挂壁灯箱进行邢台酸枣仁区域公用品牌广告宣传，宣传周期11个月；为进一步扩大邢台酸枣仁区域公用品牌影响力和知名度，2023年1月6日起，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五、下一步打算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下一步我</w:t>
      </w:r>
      <w:r>
        <w:rPr>
          <w:rFonts w:hint="eastAsia" w:ascii="仿宋_GB2312" w:hAnsi="仿宋_GB2312" w:eastAsia="仿宋_GB2312" w:cs="仿宋_GB2312"/>
          <w:color w:val="auto"/>
          <w:sz w:val="32"/>
          <w:szCs w:val="32"/>
          <w:lang w:val="en-US" w:eastAsia="zh-CN"/>
        </w:rPr>
        <w:t>们将认真学习贯彻党的二十大</w:t>
      </w:r>
      <w:bookmarkStart w:id="0" w:name="_GoBack"/>
      <w:bookmarkEnd w:id="0"/>
      <w:r>
        <w:rPr>
          <w:rFonts w:hint="eastAsia" w:ascii="仿宋_GB2312" w:hAnsi="仿宋_GB2312" w:eastAsia="仿宋_GB2312" w:cs="仿宋_GB2312"/>
          <w:color w:val="auto"/>
          <w:sz w:val="32"/>
          <w:szCs w:val="32"/>
          <w:lang w:val="en-US" w:eastAsia="zh-CN"/>
        </w:rPr>
        <w:t>精神和习近平总书记关于“三农”工作的重要论述，</w:t>
      </w:r>
      <w:r>
        <w:rPr>
          <w:rFonts w:hint="eastAsia" w:ascii="仿宋_GB2312" w:eastAsia="仿宋_GB2312"/>
          <w:color w:val="auto"/>
          <w:sz w:val="32"/>
          <w:szCs w:val="32"/>
        </w:rPr>
        <w:t>围绕</w:t>
      </w:r>
      <w:r>
        <w:rPr>
          <w:rFonts w:hint="eastAsia" w:ascii="仿宋_GB2312" w:eastAsia="仿宋_GB2312"/>
          <w:color w:val="auto"/>
          <w:sz w:val="32"/>
          <w:szCs w:val="32"/>
          <w:lang w:eastAsia="zh-CN"/>
        </w:rPr>
        <w:t>推进中国式现代化河北</w:t>
      </w:r>
      <w:r>
        <w:rPr>
          <w:rFonts w:hint="eastAsia" w:ascii="仿宋_GB2312" w:hAnsi="仿宋_GB2312" w:eastAsia="仿宋_GB2312" w:cs="仿宋_GB2312"/>
          <w:color w:val="auto"/>
          <w:sz w:val="32"/>
          <w:szCs w:val="32"/>
          <w:lang w:val="en-US" w:eastAsia="zh-CN"/>
        </w:rPr>
        <w:t>场景的邢台实践，加快农业强市建设，积极推进农业生产全程机械化建设、提升农业社会化服务水平，强化农业科技支撑、推进智慧农业建设，加快创建现代农业示范园区，打响农产品品牌建，推进一二三产业深入融合，</w:t>
      </w:r>
      <w:r>
        <w:rPr>
          <w:rFonts w:hint="eastAsia" w:ascii="仿宋_GB2312" w:eastAsia="仿宋_GB2312"/>
          <w:color w:val="auto"/>
          <w:sz w:val="32"/>
          <w:szCs w:val="32"/>
          <w:lang w:eastAsia="zh-CN"/>
        </w:rPr>
        <w:t>实现乡村产业振兴</w:t>
      </w:r>
      <w:r>
        <w:rPr>
          <w:rFonts w:hint="eastAsia" w:ascii="仿宋_GB2312" w:hAnsi="仿宋_GB2312" w:eastAsia="仿宋_GB2312" w:cs="仿宋_GB2312"/>
          <w:color w:val="auto"/>
          <w:sz w:val="32"/>
          <w:szCs w:val="32"/>
          <w:lang w:val="en-US" w:eastAsia="zh-CN"/>
        </w:rPr>
        <w:t>。</w:t>
      </w:r>
    </w:p>
    <w:p>
      <w:pPr>
        <w:pStyle w:val="9"/>
        <w:keepNext w:val="0"/>
        <w:keepLines w:val="0"/>
        <w:pageBreakBefore w:val="0"/>
        <w:widowControl w:val="0"/>
        <w:wordWrap/>
        <w:topLinePunct w:val="0"/>
        <w:bidi w:val="0"/>
        <w:adjustRightInd/>
        <w:snapToGrid/>
        <w:spacing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感谢您对农业农村工作的关心和支持！</w:t>
      </w:r>
    </w:p>
    <w:p>
      <w:pPr>
        <w:pStyle w:val="4"/>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p>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firstLine="5440" w:firstLineChars="1700"/>
        <w:textAlignment w:val="auto"/>
        <w:rPr>
          <w:rFonts w:hint="eastAsia" w:ascii="仿宋_GB2312" w:hAnsi="仿宋_GB2312" w:eastAsia="仿宋_GB2312" w:cs="仿宋_GB2312"/>
          <w:color w:val="auto"/>
          <w:sz w:val="32"/>
          <w:szCs w:val="32"/>
        </w:rPr>
      </w:pPr>
    </w:p>
    <w:p>
      <w:pPr>
        <w:pStyle w:val="2"/>
        <w:keepNext w:val="0"/>
        <w:keepLines w:val="0"/>
        <w:pageBreakBefore w:val="0"/>
        <w:wordWrap/>
        <w:topLinePunct w:val="0"/>
        <w:bidi w:val="0"/>
        <w:spacing w:line="560" w:lineRule="exact"/>
        <w:rPr>
          <w:rFonts w:hint="eastAsia" w:ascii="仿宋_GB2312" w:hAnsi="仿宋_GB2312" w:eastAsia="仿宋_GB2312" w:cs="仿宋_GB2312"/>
          <w:color w:val="auto"/>
          <w:sz w:val="32"/>
          <w:szCs w:val="32"/>
        </w:rPr>
      </w:pPr>
    </w:p>
    <w:p>
      <w:pPr>
        <w:keepNext w:val="0"/>
        <w:keepLines w:val="0"/>
        <w:pageBreakBefore w:val="0"/>
        <w:wordWrap/>
        <w:topLinePunct w:val="0"/>
        <w:bidi w:val="0"/>
        <w:spacing w:line="560" w:lineRule="exact"/>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领导签发：</w:t>
      </w:r>
      <w:r>
        <w:rPr>
          <w:rFonts w:hint="eastAsia" w:ascii="仿宋_GB2312" w:hAnsi="仿宋_GB2312" w:eastAsia="仿宋_GB2312" w:cs="仿宋_GB2312"/>
          <w:color w:val="auto"/>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联系人及电话：</w:t>
      </w:r>
      <w:r>
        <w:rPr>
          <w:rFonts w:hint="eastAsia" w:ascii="仿宋_GB2312" w:hAnsi="仿宋_GB2312" w:eastAsia="仿宋_GB2312" w:cs="仿宋_GB2312"/>
          <w:color w:val="auto"/>
          <w:sz w:val="32"/>
          <w:szCs w:val="32"/>
          <w:lang w:val="en-US" w:eastAsia="zh-CN"/>
        </w:rPr>
        <w:t>王江涛 3680619</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color w:val="auto"/>
        </w:rPr>
      </w:pPr>
      <w:r>
        <w:rPr>
          <w:rFonts w:hint="eastAsia" w:ascii="仿宋_GB2312" w:hAnsi="仿宋_GB2312" w:eastAsia="仿宋_GB2312" w:cs="仿宋_GB2312"/>
          <w:color w:val="auto"/>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roman"/>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楷体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7"/>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zMawqzAQAAUgMAAA4AAABkcnMv&#10;ZTJvRG9jLnhtbK1TS44TMRDdI3EHy3viTi9Q1IozmtFoEBICpIEDOG47bck/lZ105wJwA1Zs2HOu&#10;nIOyk84MsENs3OWq6lfvVZXXN5Oz5KAgmeA5XS4aSpSXoTd+x+nnTw+vVpSkLHwvbPCK06NK9Gbz&#10;8sV6jJ1qwxBsr4AgiE/dGDkdco4dY0kOyom0CFF5DOoATmS8wo71IEZEd5a1TfOajQH6CEGqlNB7&#10;fw7STcXXWsn8QeukMrGcIrdcT6jntpxssxbdDkQcjLzQEP/AwgnjsegV6l5kQfZg/oJyRkJIQeeF&#10;DI4FrY1UVQOqWTZ/qHkcRFRVCzYnxWub0v+Dle8PH4GYntOWEi8cjuj07evp+8/Tjy+kLe0ZY+ow&#10;6zFiXp7uwsRphr2aQwn9RfikwZUvSiKYgr0+XvurpkwkOperdrVqMCQxNl+wBHv6PULKb1RwpBic&#10;Ag6w9lUc3qV8Tp1TSjUfHoy1dYjW/+ZAzOJhhf6ZY7HytJ0umrahP6KkEWfPqcflpMS+9djasiaz&#10;AbOxnY19BLMbkJoWNpXhCIS/3WckUvmVKmfoS3EcXFV4WbKyGc/vNevpKW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AszGsKswEAAFIDAAAOAAAAAAAAAAEAIAAAADQ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056CFC"/>
    <w:multiLevelType w:val="singleLevel"/>
    <w:tmpl w:val="FA056C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000000"/>
    <w:rsid w:val="14FE77F3"/>
    <w:rsid w:val="1B6A434C"/>
    <w:rsid w:val="1D759626"/>
    <w:rsid w:val="1F2EAF72"/>
    <w:rsid w:val="25751CB2"/>
    <w:rsid w:val="27613E49"/>
    <w:rsid w:val="2C055E5B"/>
    <w:rsid w:val="300343AD"/>
    <w:rsid w:val="38157FF4"/>
    <w:rsid w:val="38207316"/>
    <w:rsid w:val="3BD5F29B"/>
    <w:rsid w:val="3C020D8D"/>
    <w:rsid w:val="3CFD0805"/>
    <w:rsid w:val="3F7E8254"/>
    <w:rsid w:val="3FFF28E9"/>
    <w:rsid w:val="40EA6D47"/>
    <w:rsid w:val="4BEF9EAB"/>
    <w:rsid w:val="4EF809A6"/>
    <w:rsid w:val="4F3F1ECD"/>
    <w:rsid w:val="4F5A9029"/>
    <w:rsid w:val="54FF2656"/>
    <w:rsid w:val="5A5963A4"/>
    <w:rsid w:val="5BA3EC21"/>
    <w:rsid w:val="5BB6E87C"/>
    <w:rsid w:val="5BB7BEC5"/>
    <w:rsid w:val="5C5E1AB1"/>
    <w:rsid w:val="5DF6F6D6"/>
    <w:rsid w:val="5E7E5731"/>
    <w:rsid w:val="5F5BFA9B"/>
    <w:rsid w:val="5FEF58D7"/>
    <w:rsid w:val="62B37719"/>
    <w:rsid w:val="63692937"/>
    <w:rsid w:val="65BBD90A"/>
    <w:rsid w:val="687F761B"/>
    <w:rsid w:val="6AE00DE9"/>
    <w:rsid w:val="6EFC62CE"/>
    <w:rsid w:val="6F9ABD48"/>
    <w:rsid w:val="6FF795D2"/>
    <w:rsid w:val="6FFF0D8E"/>
    <w:rsid w:val="728835C0"/>
    <w:rsid w:val="757D664E"/>
    <w:rsid w:val="75EA4B8B"/>
    <w:rsid w:val="7B7B6CDE"/>
    <w:rsid w:val="7CFF6D91"/>
    <w:rsid w:val="7D6C3184"/>
    <w:rsid w:val="7D7FC850"/>
    <w:rsid w:val="7DBC59DE"/>
    <w:rsid w:val="7EBDBDF0"/>
    <w:rsid w:val="7F5FFE02"/>
    <w:rsid w:val="7F6E2E2A"/>
    <w:rsid w:val="7F6ED87C"/>
    <w:rsid w:val="9BFBD727"/>
    <w:rsid w:val="9EAD5432"/>
    <w:rsid w:val="9EFDBD7A"/>
    <w:rsid w:val="9FF74F4C"/>
    <w:rsid w:val="ABFFDA0C"/>
    <w:rsid w:val="BF3CBED5"/>
    <w:rsid w:val="BFF74070"/>
    <w:rsid w:val="CDEF63D4"/>
    <w:rsid w:val="DDEF4ECB"/>
    <w:rsid w:val="DEDF3A48"/>
    <w:rsid w:val="DFE38AFB"/>
    <w:rsid w:val="E7570403"/>
    <w:rsid w:val="EC95181C"/>
    <w:rsid w:val="EFFBE987"/>
    <w:rsid w:val="F60BBC4D"/>
    <w:rsid w:val="F67AE1C3"/>
    <w:rsid w:val="FBFEC9DB"/>
    <w:rsid w:val="FCBD206A"/>
    <w:rsid w:val="FD75D4B9"/>
    <w:rsid w:val="FD7F1106"/>
    <w:rsid w:val="FEF9BE59"/>
    <w:rsid w:val="FFC18659"/>
    <w:rsid w:val="FFFF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widowControl w:val="0"/>
      <w:adjustRightInd/>
      <w:snapToGrid/>
      <w:spacing w:before="100" w:beforeAutospacing="1"/>
      <w:ind w:firstLine="420" w:firstLineChars="200"/>
      <w:jc w:val="both"/>
    </w:pPr>
    <w:rPr>
      <w:rFonts w:ascii="等线" w:hAnsi="等线" w:eastAsia="宋体" w:cs="Times New Roman"/>
      <w:kern w:val="2"/>
      <w:sz w:val="21"/>
      <w:szCs w:val="21"/>
    </w:rPr>
  </w:style>
  <w:style w:type="paragraph" w:styleId="3">
    <w:name w:val="Body Text Indent"/>
    <w:basedOn w:val="1"/>
    <w:next w:val="1"/>
    <w:unhideWhenUsed/>
    <w:qFormat/>
    <w:uiPriority w:val="99"/>
    <w:pPr>
      <w:spacing w:after="120"/>
      <w:ind w:left="420" w:leftChars="200"/>
    </w:pPr>
  </w:style>
  <w:style w:type="paragraph" w:styleId="4">
    <w:name w:val="Normal Indent"/>
    <w:basedOn w:val="1"/>
    <w:next w:val="5"/>
    <w:qFormat/>
    <w:uiPriority w:val="0"/>
    <w:pPr>
      <w:ind w:firstLine="420"/>
    </w:pPr>
    <w:rPr>
      <w:rFonts w:ascii="Times New Roman" w:hAnsi="Times New Roman"/>
      <w:szCs w:val="20"/>
    </w:rPr>
  </w:style>
  <w:style w:type="paragraph" w:styleId="5">
    <w:name w:val="Plain Text"/>
    <w:basedOn w:val="1"/>
    <w:qFormat/>
    <w:uiPriority w:val="0"/>
    <w:rPr>
      <w:rFonts w:ascii="方正书宋_GBK" w:hAnsi="DejaVu Sans"/>
    </w:rPr>
  </w:style>
  <w:style w:type="paragraph" w:styleId="6">
    <w:name w:val="Body Text"/>
    <w:basedOn w:val="1"/>
    <w:next w:val="1"/>
    <w:qFormat/>
    <w:uiPriority w:val="0"/>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2"/>
    <w:basedOn w:val="1"/>
    <w:next w:val="1"/>
    <w:qFormat/>
    <w:uiPriority w:val="0"/>
    <w:pPr>
      <w:kinsoku w:val="0"/>
      <w:overflowPunct w:val="0"/>
      <w:autoSpaceDE w:val="0"/>
      <w:autoSpaceDN w:val="0"/>
      <w:spacing w:line="20" w:lineRule="exact"/>
      <w:ind w:firstLine="640" w:firstLineChars="200"/>
    </w:pPr>
    <w:rPr>
      <w:rFonts w:ascii="楷体_GB2312" w:hAnsi="黑体" w:eastAsia="楷体_GB2312" w:cs="楷体_GB2312"/>
      <w:kern w:val="0"/>
      <w:sz w:val="32"/>
      <w:szCs w:val="32"/>
    </w:rPr>
  </w:style>
  <w:style w:type="paragraph" w:styleId="10">
    <w:name w:val="Title"/>
    <w:basedOn w:val="1"/>
    <w:next w:val="1"/>
    <w:qFormat/>
    <w:uiPriority w:val="10"/>
    <w:pPr>
      <w:spacing w:before="240" w:after="60"/>
      <w:jc w:val="center"/>
      <w:outlineLvl w:val="0"/>
    </w:pPr>
    <w:rPr>
      <w:rFonts w:ascii="Cambria" w:hAnsi="Cambria" w:cs="黑体"/>
      <w:b/>
      <w:bCs/>
      <w:sz w:val="32"/>
      <w:szCs w:val="32"/>
    </w:rPr>
  </w:style>
  <w:style w:type="paragraph" w:customStyle="1" w:styleId="13">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4">
    <w:name w:val="正文首行缩进 21"/>
    <w:basedOn w:val="1"/>
    <w:qFormat/>
    <w:uiPriority w:val="0"/>
    <w:pPr>
      <w:spacing w:after="120" w:afterLines="0"/>
      <w:ind w:left="420" w:leftChars="200" w:firstLine="420" w:firstLineChars="200"/>
    </w:pPr>
    <w:rPr>
      <w:rFonts w:ascii="Times New Roman" w:hAnsi="Times New Roman"/>
    </w:rPr>
  </w:style>
  <w:style w:type="paragraph" w:customStyle="1" w:styleId="15">
    <w:name w:val="Body Text First Indent 21"/>
    <w:basedOn w:val="16"/>
    <w:qFormat/>
    <w:uiPriority w:val="0"/>
    <w:pPr>
      <w:ind w:firstLine="420" w:firstLineChars="200"/>
    </w:pPr>
    <w:rPr>
      <w:rFonts w:ascii="Times New Roman" w:hAnsi="Times New Roman" w:eastAsia="宋体" w:cs="Times New Roman"/>
      <w:szCs w:val="20"/>
    </w:rPr>
  </w:style>
  <w:style w:type="paragraph" w:customStyle="1" w:styleId="16">
    <w:name w:val="Body Text Indent1"/>
    <w:basedOn w:val="1"/>
    <w:qFormat/>
    <w:uiPriority w:val="0"/>
    <w:pPr>
      <w:spacing w:after="120" w:afterLines="0"/>
      <w:ind w:left="420" w:leftChars="200"/>
    </w:pPr>
    <w:rPr>
      <w:rFonts w:ascii="Times New Roman" w:hAnsi="Times New Roman" w:eastAsia="宋体" w:cs="Times New Roman"/>
      <w:szCs w:val="20"/>
    </w:rPr>
  </w:style>
  <w:style w:type="character" w:customStyle="1" w:styleId="17">
    <w:name w:val="NormalCharacter"/>
    <w:basedOn w:val="12"/>
    <w:link w:val="18"/>
    <w:semiHidden/>
    <w:qFormat/>
    <w:uiPriority w:val="0"/>
  </w:style>
  <w:style w:type="paragraph" w:customStyle="1" w:styleId="18">
    <w:name w:val="UserStyle_2"/>
    <w:basedOn w:val="1"/>
    <w:link w:val="17"/>
    <w:qFormat/>
    <w:uiPriority w:val="0"/>
    <w:pPr>
      <w:widowControl/>
      <w:spacing w:after="160" w:line="240" w:lineRule="exact"/>
      <w:ind w:firstLine="880" w:firstLineChars="200"/>
      <w:jc w:val="left"/>
      <w:textAlignment w:val="baseline"/>
    </w:pPr>
  </w:style>
  <w:style w:type="paragraph" w:customStyle="1" w:styleId="19">
    <w:name w:val="正文缩进1"/>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2284</Words>
  <Characters>2354</Characters>
  <Lines>0</Lines>
  <Paragraphs>0</Paragraphs>
  <TotalTime>24</TotalTime>
  <ScaleCrop>false</ScaleCrop>
  <LinksUpToDate>false</LinksUpToDate>
  <CharactersWithSpaces>2395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2014-11-04T04:08:00Z</dcterms:created>
  <dc:creator>lenovo</dc:creator>
  <cp:lastModifiedBy>ncj</cp:lastModifiedBy>
  <cp:lastPrinted>2023-06-02T03:50:00Z</cp:lastPrinted>
  <dcterms:modified xsi:type="dcterms:W3CDTF">2025-02-24T16:34:30Z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BE7B60737E334190A4650B736BC1FEA9</vt:lpwstr>
  </property>
</Properties>
</file>