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right"/>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rPr>
        <w:t>是否同意公开：</w:t>
      </w:r>
      <w:r>
        <w:rPr>
          <w:rFonts w:hint="eastAsia" w:ascii="仿宋_GB2312" w:hAnsi="仿宋_GB2312" w:eastAsia="仿宋_GB2312" w:cs="仿宋_GB2312"/>
          <w:sz w:val="32"/>
          <w:szCs w:val="32"/>
          <w:u w:val="none"/>
          <w:lang w:eastAsia="zh-CN"/>
        </w:rPr>
        <w:t>是</w:t>
      </w:r>
    </w:p>
    <w:p>
      <w:pPr>
        <w:keepNext w:val="0"/>
        <w:keepLines w:val="0"/>
        <w:pageBreakBefore w:val="0"/>
        <w:widowControl w:val="0"/>
        <w:kinsoku/>
        <w:wordWrap/>
        <w:overflowPunct/>
        <w:topLinePunct w:val="0"/>
        <w:autoSpaceDE/>
        <w:autoSpaceDN/>
        <w:bidi w:val="0"/>
        <w:adjustRightInd/>
        <w:snapToGrid/>
        <w:spacing w:line="560" w:lineRule="exact"/>
        <w:ind w:right="0" w:firstLine="7040" w:firstLineChars="2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办理结果</w:t>
      </w:r>
      <w:r>
        <w:rPr>
          <w:rFonts w:hint="eastAsia" w:ascii="仿宋_GB2312" w:hAnsi="仿宋_GB2312" w:eastAsia="仿宋_GB2312" w:cs="仿宋_GB2312"/>
          <w:sz w:val="32"/>
          <w:szCs w:val="32"/>
          <w:u w:val="none"/>
          <w:lang w:val="en-US" w:eastAsia="zh-CN"/>
        </w:rPr>
        <w:t>：A</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lang w:eastAsia="zh-CN"/>
        </w:rPr>
        <w:t>邢农提案</w:t>
      </w:r>
      <w:r>
        <w:rPr>
          <w:rFonts w:hint="eastAsia" w:ascii="仿宋_GB2312" w:hAnsi="仿宋_GB2312" w:eastAsia="仿宋_GB2312" w:cs="仿宋_GB2312"/>
          <w:sz w:val="32"/>
          <w:szCs w:val="32"/>
          <w:u w:val="none"/>
        </w:rPr>
        <w:t>字〔20</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35</w:t>
      </w:r>
      <w:r>
        <w:rPr>
          <w:rFonts w:hint="eastAsia" w:ascii="仿宋_GB2312" w:hAnsi="仿宋_GB2312" w:eastAsia="仿宋_GB2312" w:cs="仿宋_GB2312"/>
          <w:sz w:val="32"/>
          <w:szCs w:val="32"/>
          <w:u w:val="none"/>
        </w:rPr>
        <w:t>号</w:t>
      </w:r>
    </w:p>
    <w:p>
      <w:pPr>
        <w:pStyle w:val="3"/>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sz w:val="32"/>
          <w:szCs w:val="32"/>
          <w:lang w:val="zh-CN" w:eastAsia="zh-CN"/>
        </w:rPr>
      </w:pP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leftChars="0"/>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邢台市农业农村局</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leftChars="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对政协邢台市第十四届委员会</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leftChars="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第</w:t>
      </w:r>
      <w:r>
        <w:rPr>
          <w:rFonts w:hint="eastAsia" w:ascii="方正小标宋简体" w:hAnsi="方正小标宋简体" w:eastAsia="方正小标宋简体" w:cs="方正小标宋简体"/>
          <w:color w:val="auto"/>
          <w:sz w:val="44"/>
          <w:szCs w:val="44"/>
          <w:lang w:val="en-US" w:eastAsia="zh-CN"/>
        </w:rPr>
        <w:t>三</w:t>
      </w:r>
      <w:r>
        <w:rPr>
          <w:rFonts w:hint="eastAsia" w:ascii="方正小标宋简体" w:hAnsi="方正小标宋简体" w:eastAsia="方正小标宋简体" w:cs="方正小标宋简体"/>
          <w:color w:val="auto"/>
          <w:sz w:val="44"/>
          <w:szCs w:val="44"/>
        </w:rPr>
        <w:t>次会议第</w:t>
      </w:r>
      <w:r>
        <w:rPr>
          <w:rFonts w:hint="eastAsia" w:ascii="方正小标宋简体" w:hAnsi="方正小标宋简体" w:eastAsia="方正小标宋简体" w:cs="方正小标宋简体"/>
          <w:color w:val="auto"/>
          <w:sz w:val="44"/>
          <w:szCs w:val="44"/>
          <w:lang w:val="en-US" w:eastAsia="zh-CN"/>
        </w:rPr>
        <w:t>395</w:t>
      </w:r>
      <w:r>
        <w:rPr>
          <w:rFonts w:hint="eastAsia" w:ascii="方正小标宋简体" w:hAnsi="方正小标宋简体" w:eastAsia="方正小标宋简体" w:cs="方正小标宋简体"/>
          <w:color w:val="auto"/>
          <w:sz w:val="44"/>
          <w:szCs w:val="44"/>
        </w:rPr>
        <w:t>号提案的答复</w:t>
      </w:r>
    </w:p>
    <w:p>
      <w:pPr>
        <w:pStyle w:val="12"/>
        <w:keepNext w:val="0"/>
        <w:keepLines w:val="0"/>
        <w:pageBreakBefore w:val="0"/>
        <w:widowControl w:val="0"/>
        <w:kinsoku/>
        <w:wordWrap/>
        <w:overflowPunct/>
        <w:topLinePunct w:val="0"/>
        <w:autoSpaceDE/>
        <w:autoSpaceDN/>
        <w:bidi w:val="0"/>
        <w:adjustRightIn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民建邢台市委：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贵委提出的关于“加快推动农村现代化聚智助力乡村振兴”的提案收悉。</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z w:val="32"/>
          <w:szCs w:val="32"/>
          <w:lang w:val="en-US" w:eastAsia="zh-CN"/>
        </w:rPr>
        <w:t>市委、市政府高度重视乡村振兴工作，今年以来先后召开市委</w:t>
      </w:r>
      <w:r>
        <w:rPr>
          <w:rFonts w:hint="eastAsia" w:ascii="仿宋_GB2312" w:hAnsi="仿宋_GB2312" w:eastAsia="仿宋_GB2312" w:cs="仿宋_GB2312"/>
          <w:spacing w:val="6"/>
          <w:sz w:val="32"/>
          <w:szCs w:val="32"/>
          <w:lang w:val="en-US" w:eastAsia="zh-CN"/>
        </w:rPr>
        <w:t>常委会会议、市政府常务会议、市委农村工作领导小组会议以及市委农村工作会议，深入贯彻落实中央、省委一号文件精神及中央、省委农村工作会议要求，研究部署我市全面推进乡村振兴工作。各级各有关部门把推进乡村全面振兴作为“三农”工作的重中之重，细化责任，夯实举措，形成了推动我市乡村全面振兴的强大合力。</w:t>
      </w:r>
    </w:p>
    <w:p>
      <w:pPr>
        <w:keepNext w:val="0"/>
        <w:keepLines w:val="0"/>
        <w:pageBreakBefore w:val="0"/>
        <w:widowControl w:val="0"/>
        <w:kinsoku/>
        <w:wordWrap/>
        <w:overflowPunct/>
        <w:topLinePunct w:val="0"/>
        <w:autoSpaceDE/>
        <w:autoSpaceDN/>
        <w:bidi w:val="0"/>
        <w:adjustRightInd/>
        <w:snapToGrid/>
        <w:spacing w:line="560" w:lineRule="exact"/>
        <w:ind w:firstLine="664" w:firstLineChars="200"/>
        <w:textAlignment w:val="auto"/>
        <w:rPr>
          <w:rFonts w:hint="eastAsia" w:ascii="仿宋_GB2312" w:hAnsi="仿宋_GB2312" w:eastAsia="仿宋_GB2312" w:cs="仿宋_GB2312"/>
          <w:spacing w:val="6"/>
          <w:sz w:val="32"/>
          <w:szCs w:val="32"/>
          <w:lang w:val="en-US" w:eastAsia="zh-CN"/>
        </w:rPr>
        <w:sectPr>
          <w:pgSz w:w="11906" w:h="16838"/>
          <w:pgMar w:top="2098" w:right="1531" w:bottom="1984" w:left="1531" w:header="851" w:footer="1701" w:gutter="0"/>
          <w:pgNumType w:fmt="numberInDash" w:start="1"/>
          <w:cols w:space="0" w:num="1"/>
          <w:rtlGutter w:val="0"/>
          <w:docGrid w:type="lines" w:linePitch="312" w:charSpace="0"/>
        </w:sectPr>
      </w:pPr>
      <w:r>
        <w:rPr>
          <w:rFonts w:hint="eastAsia" w:ascii="仿宋_GB2312" w:hAnsi="仿宋_GB2312" w:eastAsia="仿宋_GB2312" w:cs="仿宋_GB2312"/>
          <w:spacing w:val="6"/>
          <w:sz w:val="32"/>
          <w:szCs w:val="32"/>
          <w:lang w:val="en-US" w:eastAsia="zh-CN"/>
        </w:rPr>
        <w:t>2022年以来，我市以实施乡村振兴战略为抓手，把加快</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推进农村现代化、助力乡村全面振兴作为重要举措，制定并印发了《邢台市推进乡村建设行动实施方案》，分别明确了提升乡村规划建设管理水平、实施农村道理畅通工程、实施农村基本公共服务提升行动等12项重点工作，并逐一明确了责任单位，合力推进任务落实，取得了明显成效。20个县（市、区）县域村庄布局规划编制全部完成。深入推进农村人居环境整治提升，全市完成新建农村户厕24602座，改建25682座，建设农村公厕1536座，农村问题厕所全部清零，全市村庄生活污水治理率达42.8%。新增村庄绿化面积1.63万亩，我市被授予“国家森林城市”称号。强化农村公共基础设施建设，农村公路完工里程960.5公里，农村生活水源置换项目已基本完成建设任务，农村饮水安全达标率100%。新（改、扩）建义务教育校舍面积5.74万平方米。在全省率先开展乡村卫生服务一体化改革试点工作，共有5468所村卫生室和6771名村医纳入一体化管理。农村养老服务体系逐步健全，高标准完成1805户农村特殊困难老年人居家适老化改造。乡村治理体系不断深化。认真履行抓乡促村职责，高标准完成乡镇换届工作，党组织领导下的村委会、村监会、服务站、合作社“五位一体”组织架构实现了全覆盖。平安乡村建设扎实深入推进，村级议事协商逐步完善。依法依规指导规范村级工作事项，全面修订完善村规民约推动树立良好的社会新风尚。抓好积分制、清单制试点建设，启动3个全域试点县，31个试点乡镇。深入推进农村集体“三资”专项整治，农村集体经济收入10万元以上的村3685个，占比达到71.47%。我市农村集资“三资”整治的经验被农业农村部转发推广。2022年我市在全省推进乡村振兴战略实绩考核中被评为优秀等次，排名全省第二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围绕您们提出的建议，2023年我市在推进农村现代化方面将着力抓好以下几个方面：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kern w:val="2"/>
          <w:sz w:val="32"/>
          <w:szCs w:val="32"/>
          <w:highlight w:val="none"/>
          <w:shd w:val="clear" w:color="auto" w:fill="auto"/>
          <w:lang w:val="en-US" w:eastAsia="zh-CN" w:bidi="ar-SA"/>
        </w:rPr>
      </w:pPr>
      <w:r>
        <w:rPr>
          <w:rFonts w:hint="eastAsia" w:ascii="黑体" w:hAnsi="黑体" w:eastAsia="黑体" w:cs="黑体"/>
          <w:b w:val="0"/>
          <w:bCs w:val="0"/>
          <w:kern w:val="2"/>
          <w:sz w:val="32"/>
          <w:szCs w:val="32"/>
          <w:highlight w:val="none"/>
          <w:shd w:val="clear" w:color="auto" w:fill="auto"/>
          <w:lang w:val="en-US" w:eastAsia="zh-CN" w:bidi="ar-SA"/>
        </w:rPr>
        <w:t>一、统筹推进乡村建设行动实施</w:t>
      </w:r>
    </w:p>
    <w:p>
      <w:pPr>
        <w:keepNext w:val="0"/>
        <w:keepLines w:val="0"/>
        <w:pageBreakBefore w:val="0"/>
        <w:widowControl w:val="0"/>
        <w:kinsoku/>
        <w:wordWrap/>
        <w:overflowPunct/>
        <w:topLinePunct w:val="0"/>
        <w:autoSpaceDE/>
        <w:autoSpaceDN/>
        <w:bidi w:val="0"/>
        <w:adjustRightInd/>
        <w:snapToGrid/>
        <w:spacing w:line="560" w:lineRule="exact"/>
        <w:ind w:firstLine="664"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6"/>
          <w:sz w:val="32"/>
          <w:szCs w:val="32"/>
          <w:lang w:val="en-US" w:eastAsia="zh-CN"/>
        </w:rPr>
        <w:t>继续把推进农村现代化作为实施乡村振兴战略、补齐农村基础短板的重要内容，制定并印发《2023年邢台市乡村建设行动实施方案》，结合我市实际，</w:t>
      </w:r>
      <w:r>
        <w:rPr>
          <w:rFonts w:hint="eastAsia" w:ascii="仿宋_GB2312" w:hAnsi="仿宋_GB2312" w:eastAsia="仿宋_GB2312" w:cs="仿宋_GB2312"/>
          <w:sz w:val="32"/>
          <w:szCs w:val="32"/>
        </w:rPr>
        <w:t>以年度性、普惠性、基础性、兜底性民生建设为重点，强化规划引领，统筹资源要素，持续改善农村生产生活条件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有序推进村庄规划编制。坚持县域统筹，支持有条件有需求的村庄分区分类编制村庄规划，合理确定村庄布局和建设边界。适时有序推进以乡镇为单元的全域土地综合整治。积极盘活存量集体建设用地，优先保障农民居住、乡村基础设施、公共服务空间和产业用地需求。落实村容村貌提升导则，立足乡土特征、地域特点和民族特色提升村庄风貌，</w:t>
      </w:r>
      <w:r>
        <w:rPr>
          <w:rFonts w:hint="eastAsia" w:ascii="仿宋_GB2312" w:hAnsi="仿宋_GB2312" w:eastAsia="仿宋_GB2312" w:cs="仿宋_GB2312"/>
          <w:sz w:val="32"/>
          <w:szCs w:val="32"/>
          <w:lang w:val="en-US" w:eastAsia="zh-CN"/>
        </w:rPr>
        <w:t>推动传统村落保护建设。</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有序推进宜居宜业和美乡村建设。学习借鉴浙江“千万工程”做法，整合资源和项目，统筹推进平稳衔接美丽乡村建设、宜居宜业和美乡村示范创建，布局建设省级宜居宜业和美乡村示范区1个，建设美丽乡村276个。</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kern w:val="2"/>
          <w:sz w:val="32"/>
          <w:szCs w:val="32"/>
          <w:highlight w:val="none"/>
          <w:shd w:val="clear" w:color="auto" w:fill="auto"/>
          <w:lang w:val="en-US" w:eastAsia="zh-CN" w:bidi="ar-SA"/>
        </w:rPr>
      </w:pPr>
      <w:r>
        <w:rPr>
          <w:rFonts w:hint="eastAsia" w:ascii="黑体" w:hAnsi="黑体" w:eastAsia="黑体" w:cs="黑体"/>
          <w:b w:val="0"/>
          <w:bCs w:val="0"/>
          <w:kern w:val="2"/>
          <w:sz w:val="32"/>
          <w:szCs w:val="32"/>
          <w:highlight w:val="none"/>
          <w:shd w:val="clear" w:color="auto" w:fill="auto"/>
          <w:lang w:val="en-US" w:eastAsia="zh-CN" w:bidi="ar-SA"/>
        </w:rPr>
        <w:t>健全完善乡村市场体系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7" w:firstLineChars="200"/>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b/>
          <w:bCs/>
          <w:spacing w:val="6"/>
          <w:sz w:val="32"/>
          <w:szCs w:val="32"/>
          <w:lang w:val="en-US" w:eastAsia="zh-CN"/>
        </w:rPr>
        <w:t>一是</w:t>
      </w:r>
      <w:r>
        <w:rPr>
          <w:rFonts w:hint="eastAsia" w:ascii="仿宋_GB2312" w:hAnsi="仿宋_GB2312" w:eastAsia="仿宋_GB2312" w:cs="仿宋_GB2312"/>
          <w:spacing w:val="6"/>
          <w:sz w:val="32"/>
          <w:szCs w:val="32"/>
          <w:lang w:val="en-US" w:eastAsia="zh-CN"/>
        </w:rPr>
        <w:t>培育壮大新型经营主体。实施新型农业经营主体提升行动，支持家庭农场组建农民合作社、合作社根据发展需要办企业。实施农业社会化服务促进行动，农业生产托管服务组织发展到4900家。新增规模性经营土地200万亩以上，新发展农民合作社200家、家庭农场300家。引导土地经营权有序流转，发展农业适度规模经营。</w:t>
      </w:r>
      <w:r>
        <w:rPr>
          <w:rFonts w:hint="eastAsia" w:ascii="仿宋_GB2312" w:hAnsi="仿宋_GB2312" w:eastAsia="仿宋_GB2312" w:cs="仿宋_GB2312"/>
          <w:b/>
          <w:bCs/>
          <w:spacing w:val="6"/>
          <w:sz w:val="32"/>
          <w:szCs w:val="32"/>
          <w:lang w:val="en-US" w:eastAsia="zh-CN"/>
        </w:rPr>
        <w:t>二是</w:t>
      </w:r>
      <w:r>
        <w:rPr>
          <w:rFonts w:hint="eastAsia" w:ascii="仿宋_GB2312" w:hAnsi="仿宋_GB2312" w:eastAsia="仿宋_GB2312" w:cs="仿宋_GB2312"/>
          <w:spacing w:val="6"/>
          <w:sz w:val="32"/>
          <w:szCs w:val="32"/>
          <w:lang w:val="en-US" w:eastAsia="zh-CN"/>
        </w:rPr>
        <w:t>健全农产品流通网络。加快推进农产品产地仓储保鲜冷链物流设施建设，实施“互联网+”农产品出村进城工程，大力发展农村电商。推进农产品供应链建设，加快河北宝信供应链项目全链条建设。实施县域商业建设行动，推动沙河市、清河县、威县、柏乡县等实施县域商业体系建设，重点建设改造县级物流配送中心和乡镇商贸中心。</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kern w:val="2"/>
          <w:sz w:val="32"/>
          <w:szCs w:val="32"/>
          <w:highlight w:val="none"/>
          <w:shd w:val="clear" w:color="auto" w:fill="auto"/>
          <w:lang w:val="en-US" w:eastAsia="zh-CN" w:bidi="ar-SA"/>
        </w:rPr>
      </w:pPr>
      <w:r>
        <w:rPr>
          <w:rFonts w:hint="eastAsia" w:ascii="黑体" w:hAnsi="黑体" w:eastAsia="黑体" w:cs="黑体"/>
          <w:b w:val="0"/>
          <w:bCs w:val="0"/>
          <w:kern w:val="2"/>
          <w:sz w:val="32"/>
          <w:szCs w:val="32"/>
          <w:highlight w:val="none"/>
          <w:shd w:val="clear" w:color="auto" w:fill="auto"/>
          <w:lang w:val="en-US" w:eastAsia="zh-CN" w:bidi="ar-SA"/>
        </w:rPr>
        <w:t>大力培育新产业、新业态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eastAsia" w:ascii="仿宋_GB2312" w:hAnsi="仿宋_GB2312" w:eastAsia="仿宋_GB2312" w:cs="仿宋_GB2312"/>
          <w:b w:val="0"/>
          <w:bCs w:val="0"/>
          <w:sz w:val="32"/>
          <w:szCs w:val="32"/>
          <w:highlight w:val="none"/>
          <w:u w:val="none"/>
          <w:shd w:val="clear" w:color="auto" w:fill="auto"/>
          <w:lang w:val="en-US" w:eastAsia="zh-CN"/>
        </w:rPr>
      </w:pPr>
      <w:r>
        <w:rPr>
          <w:rFonts w:hint="eastAsia" w:ascii="仿宋_GB2312" w:hAnsi="仿宋_GB2312" w:eastAsia="仿宋_GB2312" w:cs="仿宋_GB2312"/>
          <w:b w:val="0"/>
          <w:bCs w:val="0"/>
          <w:sz w:val="32"/>
          <w:szCs w:val="32"/>
          <w:highlight w:val="none"/>
          <w:u w:val="none"/>
          <w:shd w:val="clear" w:color="auto" w:fill="auto"/>
          <w:lang w:val="en-US" w:eastAsia="zh-CN"/>
        </w:rPr>
        <w:t>聚焦粮油、蔬菜、果品、中药材、奶业、畜牧养殖等六大主导产业，全面提升产业规模、产品品质、销售产值。加快推动奶业、蔬菜、中药材等优势产业集中连片现代农业示范园区、产业基地建设，一体化推进集群、园区、项目建设，推进特色农业产业化，争创1—2家省级现代农业示范园区，提升3个国家级特色农产品优势区，创建2个以上农业国际贸易高质量发展基地。实施乡村休闲旅游精品工程，推出4条乡村休闲旅游精品景点线路，培育提升3个乡村旅游重点村镇，积极参与打造“冀忆乡居”百佳精品民宿，全市乡村休闲旅游接待人次达到900万以上，综合收入达到28亿元以上。实施农产品加工业提升行动。支持家庭农场、农民合作社和中小微企业等发展农产品产地初加工，引导今麦郎、玉锋集团、争创食品等企业发展农产品精深加工，培育发展预制菜产业，提升净菜、中央厨房等产业标准化和规范化水平。筛选拟在主板上市的农业企业予以重点支持，做大做强2-3家农业头部企业。支持农产品加工企业向产地下沉、向园区集中，巩固提升农产品加工能力，全市农产品加工与农业产值比达到2.3:1以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kern w:val="2"/>
          <w:sz w:val="32"/>
          <w:szCs w:val="32"/>
          <w:highlight w:val="none"/>
          <w:shd w:val="clear" w:color="auto" w:fill="auto"/>
          <w:lang w:val="en-US" w:eastAsia="zh-CN" w:bidi="ar-SA"/>
        </w:rPr>
      </w:pPr>
      <w:r>
        <w:rPr>
          <w:rFonts w:hint="eastAsia" w:ascii="黑体" w:hAnsi="黑体" w:eastAsia="黑体" w:cs="黑体"/>
          <w:b w:val="0"/>
          <w:bCs w:val="0"/>
          <w:kern w:val="2"/>
          <w:sz w:val="32"/>
          <w:szCs w:val="32"/>
          <w:highlight w:val="none"/>
          <w:shd w:val="clear" w:color="auto" w:fill="auto"/>
          <w:lang w:val="en-US" w:eastAsia="zh-CN" w:bidi="ar-SA"/>
        </w:rPr>
        <w:t>全面深化农村改革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eastAsia" w:ascii="仿宋_GB2312" w:hAnsi="仿宋_GB2312" w:eastAsia="仿宋_GB2312" w:cs="仿宋_GB2312"/>
          <w:b w:val="0"/>
          <w:bCs w:val="0"/>
          <w:sz w:val="32"/>
          <w:szCs w:val="32"/>
          <w:highlight w:val="none"/>
          <w:u w:val="none"/>
          <w:shd w:val="clear" w:color="auto" w:fill="auto"/>
          <w:lang w:val="en-US" w:eastAsia="zh-CN"/>
        </w:rPr>
      </w:pPr>
      <w:r>
        <w:rPr>
          <w:rFonts w:hint="eastAsia" w:ascii="仿宋_GB2312" w:hAnsi="仿宋_GB2312" w:eastAsia="仿宋_GB2312" w:cs="仿宋_GB2312"/>
          <w:b w:val="0"/>
          <w:bCs w:val="0"/>
          <w:sz w:val="32"/>
          <w:szCs w:val="32"/>
          <w:highlight w:val="none"/>
          <w:u w:val="none"/>
          <w:shd w:val="clear" w:color="auto" w:fill="auto"/>
          <w:lang w:val="en-US" w:eastAsia="zh-CN"/>
        </w:rPr>
        <w:t>深化农村土地制度改革，全面落实农村土地承包关系稳定并长久不变政策，让更多农民分享改革红利。稳慎推进信都区国家级农村宅基地制度改革试点，有序推进试点工作提质扩面，积极做好平乡县省级农村宅基地规范管理和闲置宅基地盘活利用试点工作，加快推进房地一体化确权登记颁证工作，探索宅基地“三权分置”有效实现形式，多途径增加农民财产性收入。健全县域城乡融合发展体制机制，统筹县域城乡规划建设，推动县城扩容提质，加强中心镇市政和服务设施建设。深入推进县域农民工市民化，建立健全基本公共服务同常住人口挂钩、由常住地供给机制。梯度配置县乡村公共资源，发展城乡学校共同体。推进县乡村三级养老服务网络建设，开展紧密型县域医共体示范创建。推动县域供电、供气、电信、邮政等普遍服务类设施城乡统筹建设和管护，让更多群众分享改革成果。</w:t>
      </w:r>
    </w:p>
    <w:p>
      <w:pPr>
        <w:pStyle w:val="12"/>
        <w:keepNext w:val="0"/>
        <w:keepLines w:val="0"/>
        <w:pageBreakBefore w:val="0"/>
        <w:widowControl w:val="0"/>
        <w:numPr>
          <w:ilvl w:val="0"/>
          <w:numId w:val="1"/>
        </w:numPr>
        <w:kinsoku/>
        <w:wordWrap/>
        <w:overflowPunct/>
        <w:topLinePunct w:val="0"/>
        <w:autoSpaceDE/>
        <w:autoSpaceDN/>
        <w:bidi w:val="0"/>
        <w:adjustRightInd/>
        <w:snapToGrid/>
        <w:spacing w:after="0" w:afterLines="0" w:line="560" w:lineRule="exact"/>
        <w:ind w:left="0" w:leftChars="0" w:firstLine="640" w:firstLineChars="200"/>
        <w:textAlignment w:val="auto"/>
        <w:rPr>
          <w:rFonts w:hint="eastAsia" w:ascii="黑体" w:hAnsi="黑体" w:eastAsia="黑体" w:cs="黑体"/>
          <w:b w:val="0"/>
          <w:bCs w:val="0"/>
          <w:sz w:val="32"/>
          <w:szCs w:val="32"/>
          <w:highlight w:val="none"/>
          <w:shd w:val="clear" w:color="auto" w:fill="auto"/>
          <w:lang w:val="en-US" w:eastAsia="zh-CN"/>
        </w:rPr>
      </w:pPr>
      <w:r>
        <w:rPr>
          <w:rFonts w:hint="eastAsia" w:ascii="黑体" w:hAnsi="黑体" w:eastAsia="黑体" w:cs="黑体"/>
          <w:b w:val="0"/>
          <w:bCs w:val="0"/>
          <w:sz w:val="32"/>
          <w:szCs w:val="32"/>
          <w:highlight w:val="none"/>
          <w:shd w:val="clear" w:color="auto" w:fill="auto"/>
          <w:lang w:val="en-US" w:eastAsia="zh-CN"/>
        </w:rPr>
        <w:t>巩固拓展脱贫攻坚成果</w:t>
      </w:r>
    </w:p>
    <w:p>
      <w:pPr>
        <w:pStyle w:val="6"/>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highlight w:val="none"/>
          <w:u w:val="none"/>
          <w:shd w:val="clear" w:color="auto" w:fill="auto"/>
          <w:lang w:val="en-US" w:eastAsia="zh-CN" w:bidi="ar-SA"/>
        </w:rPr>
        <w:t>保持巩固拓展脱贫攻坚成果同乡村振兴有效衔接政策稳定，在财政、金融、土地、人才、项目等方面对省级乡村振兴重点帮扶县给予支持倾斜，巩固提升“三保障”和饮水安全保障成果。强化农村低收入人口常态化帮扶，落实分层分类社会救助政策，确保兜底保障水平稳步提高。深入开展巩固易地搬迁脱贫成果专项行动和搬迁群众就业帮扶专项行动。</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val="0"/>
          <w:kern w:val="2"/>
          <w:sz w:val="32"/>
          <w:szCs w:val="32"/>
          <w:highlight w:val="none"/>
          <w:u w:val="none"/>
          <w:shd w:val="clear" w:color="auto" w:fill="auto"/>
          <w:lang w:val="en-US" w:eastAsia="zh-CN" w:bidi="ar-SA"/>
        </w:rPr>
      </w:pPr>
      <w:r>
        <w:rPr>
          <w:rFonts w:hint="eastAsia" w:ascii="仿宋_GB2312" w:hAnsi="仿宋_GB2312" w:eastAsia="仿宋_GB2312" w:cs="仿宋_GB2312"/>
          <w:b w:val="0"/>
          <w:bCs w:val="0"/>
          <w:kern w:val="2"/>
          <w:sz w:val="32"/>
          <w:szCs w:val="32"/>
          <w:highlight w:val="none"/>
          <w:u w:val="none"/>
          <w:shd w:val="clear" w:color="auto" w:fill="auto"/>
          <w:lang w:val="en-US" w:eastAsia="zh-CN" w:bidi="ar-SA"/>
        </w:rPr>
        <w:t>感谢贵委对农业农村工作的关心和支持！</w:t>
      </w:r>
    </w:p>
    <w:p>
      <w:pPr>
        <w:pStyle w:val="4"/>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rPr>
      </w:pPr>
    </w:p>
    <w:p>
      <w:pPr>
        <w:pStyle w:val="4"/>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rPr>
      </w:pP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eastAsia="zh-CN"/>
        </w:rPr>
      </w:pPr>
      <w:bookmarkStart w:id="0" w:name="_GoBack"/>
      <w:bookmarkEnd w:id="0"/>
      <w:r>
        <w:rPr>
          <w:rFonts w:hint="eastAsia" w:ascii="仿宋_GB2312" w:hAnsi="仿宋_GB2312" w:eastAsia="仿宋_GB2312" w:cs="仿宋_GB2312"/>
          <w:sz w:val="32"/>
          <w:szCs w:val="32"/>
        </w:rPr>
        <w:t>领导签发：</w:t>
      </w:r>
      <w:r>
        <w:rPr>
          <w:rFonts w:hint="eastAsia" w:ascii="仿宋_GB2312" w:hAnsi="仿宋_GB2312" w:eastAsia="仿宋_GB2312" w:cs="仿宋_GB2312"/>
          <w:sz w:val="32"/>
          <w:szCs w:val="32"/>
          <w:lang w:eastAsia="zh-CN"/>
        </w:rPr>
        <w:t>邱海飚</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sz w:val="32"/>
          <w:szCs w:val="32"/>
          <w:lang w:eastAsia="zh-CN"/>
        </w:rPr>
        <w:t>张志军</w:t>
      </w:r>
      <w:r>
        <w:rPr>
          <w:rFonts w:hint="eastAsia" w:ascii="仿宋_GB2312" w:hAnsi="仿宋_GB2312" w:eastAsia="仿宋_GB2312" w:cs="仿宋_GB2312"/>
          <w:sz w:val="32"/>
          <w:szCs w:val="32"/>
          <w:lang w:val="en-US" w:eastAsia="zh-CN"/>
        </w:rPr>
        <w:t xml:space="preserve"> 3699772</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kern w:val="2"/>
          <w:sz w:val="32"/>
          <w:szCs w:val="32"/>
          <w:highlight w:val="none"/>
          <w:u w:val="none"/>
          <w:shd w:val="clear" w:color="auto" w:fill="auto"/>
          <w:lang w:val="en-US" w:eastAsia="zh-CN" w:bidi="ar-SA"/>
        </w:rPr>
      </w:pPr>
      <w:r>
        <w:rPr>
          <w:rFonts w:hint="eastAsia" w:ascii="仿宋_GB2312" w:hAnsi="仿宋_GB2312" w:eastAsia="仿宋_GB2312" w:cs="仿宋_GB2312"/>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仿宋" w:hAnsi="仿宋" w:eastAsia="仿宋" w:cs="仿宋"/>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6"/>
                      <w:rPr>
                        <w:rFonts w:hint="eastAsia" w:ascii="仿宋" w:hAnsi="仿宋" w:eastAsia="仿宋" w:cs="仿宋"/>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C2A9A"/>
    <w:multiLevelType w:val="singleLevel"/>
    <w:tmpl w:val="FFEC2A9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2C665BFF"/>
    <w:rsid w:val="0C1231C6"/>
    <w:rsid w:val="1FFF5D46"/>
    <w:rsid w:val="25DFDA97"/>
    <w:rsid w:val="2C665BFF"/>
    <w:rsid w:val="2DAA5FEB"/>
    <w:rsid w:val="356FD585"/>
    <w:rsid w:val="370D1B3B"/>
    <w:rsid w:val="3F2DA98B"/>
    <w:rsid w:val="4FE5EF59"/>
    <w:rsid w:val="5116778F"/>
    <w:rsid w:val="56D5D547"/>
    <w:rsid w:val="65FF396A"/>
    <w:rsid w:val="69A21508"/>
    <w:rsid w:val="6F7D8A27"/>
    <w:rsid w:val="6FFF4986"/>
    <w:rsid w:val="77BF2483"/>
    <w:rsid w:val="77ED0334"/>
    <w:rsid w:val="77FE32B1"/>
    <w:rsid w:val="77FF32C4"/>
    <w:rsid w:val="7AEC4A96"/>
    <w:rsid w:val="7AF7DC64"/>
    <w:rsid w:val="7B203254"/>
    <w:rsid w:val="7BF549B6"/>
    <w:rsid w:val="7DFB5EFB"/>
    <w:rsid w:val="7FEB8E5D"/>
    <w:rsid w:val="9AFD490C"/>
    <w:rsid w:val="AFB283E6"/>
    <w:rsid w:val="BE7CD93C"/>
    <w:rsid w:val="BEA96D8C"/>
    <w:rsid w:val="D3FBDA31"/>
    <w:rsid w:val="D9BF86C6"/>
    <w:rsid w:val="FE7DFB81"/>
    <w:rsid w:val="FF47EC9C"/>
    <w:rsid w:val="FFF4581D"/>
    <w:rsid w:val="FFFF5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ind w:firstLine="200" w:firstLineChars="200"/>
      <w:jc w:val="both"/>
    </w:pPr>
    <w:rPr>
      <w:rFonts w:ascii="Times New Roman" w:hAnsi="Times New Roman" w:eastAsia="宋体" w:cs="Times New Roman"/>
      <w:kern w:val="2"/>
      <w:sz w:val="28"/>
      <w:szCs w:val="24"/>
      <w:lang w:val="en-US" w:eastAsia="zh-CN" w:bidi="ar-SA"/>
    </w:rPr>
  </w:style>
  <w:style w:type="paragraph" w:styleId="3">
    <w:name w:val="Normal Indent"/>
    <w:basedOn w:val="1"/>
    <w:next w:val="4"/>
    <w:qFormat/>
    <w:uiPriority w:val="0"/>
    <w:pPr>
      <w:ind w:firstLine="420"/>
    </w:pPr>
    <w:rPr>
      <w:szCs w:val="21"/>
    </w:rPr>
  </w:style>
  <w:style w:type="paragraph" w:styleId="4">
    <w:name w:val="Plain Text"/>
    <w:basedOn w:val="1"/>
    <w:next w:val="1"/>
    <w:qFormat/>
    <w:uiPriority w:val="0"/>
    <w:rPr>
      <w:rFonts w:ascii="宋体" w:hAnsi="Courier New"/>
    </w:rPr>
  </w:style>
  <w:style w:type="paragraph" w:styleId="5">
    <w:name w:val="Body Text Indent"/>
    <w:basedOn w:val="1"/>
    <w:unhideWhenUsed/>
    <w:qFormat/>
    <w:uiPriority w:val="99"/>
    <w:pPr>
      <w:spacing w:after="12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9">
    <w:name w:val="Body Text First Indent 2"/>
    <w:basedOn w:val="5"/>
    <w:unhideWhenUsed/>
    <w:qFormat/>
    <w:uiPriority w:val="99"/>
    <w:pPr>
      <w:ind w:firstLine="420" w:firstLineChars="200"/>
    </w:pPr>
  </w:style>
  <w:style w:type="paragraph" w:customStyle="1" w:styleId="12">
    <w:name w:val="Body Text First Indent 21"/>
    <w:basedOn w:val="13"/>
    <w:qFormat/>
    <w:uiPriority w:val="0"/>
    <w:pPr>
      <w:ind w:firstLine="420" w:firstLineChars="200"/>
    </w:pPr>
  </w:style>
  <w:style w:type="paragraph" w:customStyle="1" w:styleId="13">
    <w:name w:val="Body Text Indent1"/>
    <w:basedOn w:val="1"/>
    <w:qFormat/>
    <w:uiPriority w:val="0"/>
    <w:pPr>
      <w:spacing w:after="120" w:afterLines="0"/>
      <w:ind w:left="420" w:leftChars="200"/>
    </w:pPr>
    <w:rPr>
      <w:rFonts w:eastAsia="宋体"/>
    </w:rPr>
  </w:style>
  <w:style w:type="paragraph" w:customStyle="1" w:styleId="14">
    <w:name w:val="正文缩进1"/>
    <w:basedOn w:val="1"/>
    <w:qFormat/>
    <w:uiPriority w:val="0"/>
    <w:pPr>
      <w:ind w:firstLine="200" w:firstLineChars="200"/>
    </w:pPr>
    <w:rPr>
      <w:rFonts w:ascii="Times New Roman" w:hAnsi="Times New Roman"/>
    </w:rPr>
  </w:style>
  <w:style w:type="paragraph" w:customStyle="1" w:styleId="15">
    <w:name w:val="toa heading1"/>
    <w:basedOn w:val="1"/>
    <w:next w:val="1"/>
    <w:qFormat/>
    <w:uiPriority w:val="0"/>
    <w:pPr>
      <w:spacing w:before="120" w:beforeLines="0" w:beforeAutospacing="0"/>
    </w:pPr>
    <w:rPr>
      <w:rFonts w:ascii="Arial" w:hAnsi="Arial" w:eastAsia="宋体" w:cs="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2758</Words>
  <Characters>2854</Characters>
  <Lines>0</Lines>
  <Paragraphs>0</Paragraphs>
  <TotalTime>4</TotalTime>
  <ScaleCrop>false</ScaleCrop>
  <LinksUpToDate>false</LinksUpToDate>
  <CharactersWithSpaces>2893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2023-05-10T16:38:00Z</dcterms:created>
  <dc:creator>雨飘飘</dc:creator>
  <cp:lastModifiedBy>ncj</cp:lastModifiedBy>
  <dcterms:modified xsi:type="dcterms:W3CDTF">2023-06-02T15:43:03Z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4AF808AB78DB4CA4A76CD83AD5F4E4DD_11</vt:lpwstr>
  </property>
</Properties>
</file>