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/>
          <w:lang w:val="zh-CN"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jc w:val="center"/>
        <w:rPr>
          <w:rFonts w:hint="eastAsia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是否同意公开：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7040" w:firstLineChars="2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办理结果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：A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邢农提案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字〔20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第三次会议第357号提案的答复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1440" w:firstLineChars="45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民建邢台市委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left"/>
        <w:textAlignment w:val="auto"/>
        <w:rPr>
          <w:rFonts w:hint="eastAsia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贵委提出的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优化调整农业结构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助推乡村全面振兴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的提案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近年来，我市立足新发展阶段，贯彻新发展理念，</w:t>
      </w:r>
      <w:r>
        <w:rPr>
          <w:rFonts w:hint="eastAsia" w:ascii="仿宋_GB2312" w:eastAsia="仿宋_GB2312" w:cs="宋体"/>
          <w:color w:val="auto"/>
          <w:sz w:val="32"/>
          <w:szCs w:val="32"/>
          <w:lang w:val="en-US" w:eastAsia="zh-CN"/>
        </w:rPr>
        <w:t>在确保粮食安全的基础上，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积极稳妥发展特色产业，取得了一定成效。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优化产业结构，壮大特色产业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2098" w:right="1531" w:bottom="1984" w:left="1531" w:header="851" w:footer="1701" w:gutter="0"/>
          <w:pgNumType w:fmt="numberInDash" w:start="1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近两年，我市坚持产业集群式发展方向，持续壮大优质强筋小麦、优质谷子、精品蔬菜、优质食用菌、道地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中药材、葡萄、梨、苹果、优质乳品、优质生猪、优质蛋鸡</w:t>
      </w:r>
      <w:r>
        <w:rPr>
          <w:rFonts w:hint="eastAsia" w:ascii="仿宋_GB2312" w:hAnsi="仿宋_GB2312" w:eastAsia="仿宋_GB2312" w:cs="仿宋_GB2312"/>
          <w:sz w:val="32"/>
          <w:szCs w:val="32"/>
        </w:rPr>
        <w:t>等11个农业特色优势产业集群发展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，取得良好效果。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全省油料产业、葡萄产业集群暨葡萄产业创新发展研讨现场会先后在我市召开，在全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省葡萄产业集群、全省农业特色产业暨集群建设工作推进会上作典型发言。第六届京津冀（内丘）中药材产业发展大会在内丘县举行，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内丘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、信都区、巨鹿县等</w:t>
      </w:r>
      <w:r>
        <w:rPr>
          <w:rFonts w:hint="eastAsia" w:ascii="仿宋_GB2312" w:hAnsi="仿宋_GB2312" w:eastAsia="仿宋_GB2312" w:cs="仿宋_GB2312"/>
          <w:sz w:val="32"/>
          <w:szCs w:val="32"/>
        </w:rPr>
        <w:t>入选“十大冀药”及其产业大县名单。邢台国际十字花科蔬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菜产业大会已连续四届成功召开。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坚持规模经营，提升发展水平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加大土地流转。新发展土地流转等方式的规模</w:t>
      </w:r>
      <w:r>
        <w:rPr>
          <w:rFonts w:hint="eastAsia" w:ascii="仿宋_GB2312" w:hAnsi="仿宋_GB2312" w:eastAsia="仿宋_GB2312" w:cs="仿宋_GB2312"/>
          <w:sz w:val="32"/>
          <w:szCs w:val="32"/>
        </w:rPr>
        <w:t>化经营面积103.4万亩，开展农村土地经营权抵押贷款“地押云贷”业务，累计发放贷款13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00余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截至目前，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全市流转土地面积330万亩，土地流转率为37.58%，实现规模经营面积（50亩以上）202.92万亩，规模经营主体个数达到1200余个。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培育新型农业经营主体。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截至</w:t>
      </w:r>
      <w:r>
        <w:rPr>
          <w:rStyle w:val="17"/>
          <w:rFonts w:hint="eastAsia" w:ascii="仿宋_GB2312" w:eastAsia="仿宋_GB2312"/>
          <w:color w:val="auto"/>
          <w:sz w:val="32"/>
          <w:szCs w:val="32"/>
          <w:lang w:val="en-US" w:eastAsia="zh-CN"/>
        </w:rPr>
        <w:t>目前，</w:t>
      </w:r>
      <w:r>
        <w:rPr>
          <w:rStyle w:val="17"/>
          <w:rFonts w:hint="eastAsia" w:ascii="仿宋_GB2312" w:eastAsia="仿宋_GB2312"/>
          <w:color w:val="auto"/>
          <w:sz w:val="32"/>
          <w:szCs w:val="32"/>
        </w:rPr>
        <w:t>全市农民合作社总数达</w:t>
      </w:r>
      <w:r>
        <w:rPr>
          <w:rStyle w:val="17"/>
          <w:rFonts w:hint="eastAsia" w:ascii="仿宋_GB2312" w:eastAsia="仿宋_GB2312"/>
          <w:color w:val="auto"/>
          <w:sz w:val="32"/>
          <w:szCs w:val="32"/>
          <w:lang w:val="en-US" w:eastAsia="zh-CN"/>
        </w:rPr>
        <w:t>9955</w:t>
      </w:r>
      <w:r>
        <w:rPr>
          <w:rStyle w:val="17"/>
          <w:rFonts w:hint="eastAsia" w:ascii="仿宋_GB2312" w:eastAsia="仿宋_GB2312"/>
          <w:color w:val="auto"/>
          <w:sz w:val="32"/>
          <w:szCs w:val="32"/>
        </w:rPr>
        <w:t>家</w:t>
      </w:r>
      <w:r>
        <w:rPr>
          <w:rStyle w:val="17"/>
          <w:rFonts w:hint="eastAsia" w:ascii="仿宋_GB2312" w:eastAsia="仿宋_GB2312"/>
          <w:color w:val="auto"/>
          <w:sz w:val="32"/>
          <w:szCs w:val="32"/>
          <w:lang w:eastAsia="zh-CN"/>
        </w:rPr>
        <w:t>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国家级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农民合作社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示范社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家，</w:t>
      </w:r>
      <w:r>
        <w:rPr>
          <w:rStyle w:val="17"/>
          <w:rFonts w:hint="eastAsia" w:ascii="仿宋_GB2312" w:eastAsia="仿宋_GB2312"/>
          <w:color w:val="auto"/>
          <w:sz w:val="32"/>
          <w:szCs w:val="32"/>
          <w:lang w:eastAsia="zh-CN"/>
        </w:rPr>
        <w:t>拥有</w:t>
      </w:r>
      <w:r>
        <w:rPr>
          <w:rStyle w:val="17"/>
          <w:rFonts w:hint="eastAsia" w:ascii="仿宋_GB2312" w:eastAsia="仿宋_GB2312"/>
          <w:color w:val="auto"/>
          <w:sz w:val="32"/>
          <w:szCs w:val="32"/>
        </w:rPr>
        <w:t>国家级</w:t>
      </w:r>
      <w:r>
        <w:rPr>
          <w:rStyle w:val="17"/>
          <w:rFonts w:hint="eastAsia" w:ascii="仿宋_GB2312" w:eastAsia="仿宋_GB2312"/>
          <w:color w:val="auto"/>
          <w:sz w:val="32"/>
          <w:szCs w:val="32"/>
          <w:lang w:eastAsia="zh-CN"/>
        </w:rPr>
        <w:t>农民合作社</w:t>
      </w:r>
      <w:r>
        <w:rPr>
          <w:rStyle w:val="17"/>
          <w:rFonts w:hint="eastAsia" w:ascii="仿宋_GB2312" w:eastAsia="仿宋_GB2312"/>
          <w:color w:val="auto"/>
          <w:sz w:val="32"/>
          <w:szCs w:val="32"/>
        </w:rPr>
        <w:t>高质量发展试点县</w:t>
      </w:r>
      <w:r>
        <w:rPr>
          <w:rStyle w:val="17"/>
          <w:rFonts w:ascii="仿宋_GB2312" w:eastAsia="仿宋_GB2312"/>
          <w:color w:val="auto"/>
          <w:sz w:val="32"/>
          <w:szCs w:val="32"/>
        </w:rPr>
        <w:t>1</w:t>
      </w:r>
      <w:r>
        <w:rPr>
          <w:rStyle w:val="17"/>
          <w:rFonts w:hint="eastAsia" w:ascii="仿宋_GB2312" w:eastAsia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黑体" w:eastAsia="仿宋_GB2312" w:cs="黑体"/>
          <w:color w:val="auto"/>
          <w:sz w:val="32"/>
          <w:szCs w:val="32"/>
          <w:lang w:val="en-US" w:eastAsia="zh-CN"/>
        </w:rPr>
        <w:t>家庭农场6205家，其中省级示范家庭农场185家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lang w:val="en-US" w:eastAsia="zh-CN"/>
        </w:rPr>
        <w:t>新型农业经营主体的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快速发展进一步带动了我市特色产业规模化发展。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发展农业生产扩管服务。制定了《关于加快农业生产托管服务规模经营模式的指导意见》，指导各县（市、区）带领小农户发展现代农业，截至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目前，全市农业社会化服务组织达到4800余家，省级社会化服务托管组织12家，2022年开展农业社会化服务3200余万亩次。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推动延链补链，推进融合发展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3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发展农产品加工业。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全市拥有省级农业产业化重点龙头企业102家。农业产业化龙头企业规模持续扩大，年销售额(交易额)超百亿的企业达到3家、年销售额(交易额)超十亿元企业达到9家。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发展农业新业态。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拥有国家级美丽休闲乡村6个，省级美丽休闲乡村17个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沙河仲夏纳凉生态游路线成功入选2022中国美丽乡村休闲旅行精品线路景点，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省唯一。</w:t>
      </w:r>
      <w:r>
        <w:rPr>
          <w:rStyle w:val="17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全市休闲农业和乡村旅游接待游客1200余万人次，实现收入近30亿元，带动就业人数6.33万人。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密切利益联结。鼓励引导龙头企业与生产基地对接、与农民合作社和家庭农场建立紧密利益联结机制，培育了107家以龙头企业为核心市级以上示范农业产业化联合体，其中省级农业产业化联合体33家。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四、完善技术服务，强化要素支撑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强化人才支撑。将高素质农民培育工作被列入市长“菜篮子”责任考核内容，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每年</w:t>
      </w:r>
      <w:r>
        <w:rPr>
          <w:rFonts w:hint="eastAsia" w:ascii="仿宋_GB2312" w:hAnsi="仿宋_GB2312" w:eastAsia="仿宋_GB2312" w:cs="仿宋_GB2312"/>
          <w:color w:val="auto"/>
          <w:sz w:val="32"/>
        </w:rPr>
        <w:t>培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高素质农民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5000多名。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续两年开展农民职称评审，161名种养经验丰富的农民取得了农民技师职称任职资格，累计招募或续聘的62名特聘农技员，为农村特色产业发展提供人才保障。强化政策支持。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信都区、临西县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、平乡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县对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val="en-US" w:eastAsia="zh-CN"/>
        </w:rPr>
        <w:t>规模经营主体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给予补贴，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着力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解决了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实施结构调整主体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强化科技支撑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积极对接全省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23个现代农业产业技术体系创新团队，加强中药材、食用菌（平菇）苹果等10个市级综合试验推广站建设。深化校地合作，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打造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38个省级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农业科技创新驿站，成为农业科技创新要素聚集地、科技成果转化示范园和特色产业发展引领区。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五、下一步打算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们将认真学习贯彻党的二十大会议精神和习近平总书记关于“三农”工作的重要论述，严格落实防止耕地“非粮化”政策，在保障粮食安全的前提下，积极稳妥推进特色产业优化升级，扎实开展农业生产“三品一标”行动，推动品种培优、品质提升、品牌打造和标准化生产，提升特色产业发展质量效益。同时，持续开展农业延链补链强链，大力发展特色农产品加工，指导各地做好农产品网上营销，发展休闲农业，扩宽农民增收渠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感谢贵委对农业农村工作的关心和支持！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0"/>
          <w:tab w:val="left" w:pos="781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textAlignment w:val="auto"/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textAlignment w:val="auto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邱海飚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王江涛 3680619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抄送：市政府办公室，市政协提案委员会。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等线">
    <w:altName w:val="华文仿宋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zMawqzAQAAUgMAAA4AAABkcnMv&#10;ZTJvRG9jLnhtbK1TS44TMRDdI3EHy3viTi9Q1IozmtFoEBICpIEDOG47bck/lZ105wJwA1Zs2HOu&#10;nIOyk84MsENs3OWq6lfvVZXXN5Oz5KAgmeA5XS4aSpSXoTd+x+nnTw+vVpSkLHwvbPCK06NK9Gbz&#10;8sV6jJ1qwxBsr4AgiE/dGDkdco4dY0kOyom0CFF5DOoATmS8wo71IEZEd5a1TfOajQH6CEGqlNB7&#10;fw7STcXXWsn8QeukMrGcIrdcT6jntpxssxbdDkQcjLzQEP/AwgnjsegV6l5kQfZg/oJyRkJIQeeF&#10;DI4FrY1UVQOqWTZ/qHkcRFRVCzYnxWub0v+Dle8PH4GYntOWEi8cjuj07evp+8/Tjy+kLe0ZY+ow&#10;6zFiXp7uwsRphr2aQwn9RfikwZUvSiKYgr0+XvurpkwkOperdrVqMCQxNl+wBHv6PULKb1RwpBic&#10;Ag6w9lUc3qV8Tp1TSjUfHoy1dYjW/+ZAzOJhhf6ZY7HytJ0umrahP6KkEWfPqcflpMS+9djasiaz&#10;AbOxnY19BLMbkJoWNpXhCIS/3WckUvmVKmfoS3EcXFV4WbKyGc/vNevpKW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AszGsK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73C8FF"/>
    <w:multiLevelType w:val="singleLevel"/>
    <w:tmpl w:val="C873C8F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Yjg4ZWZiYzQ2Yzk4MTAwMzUzMDBlMDI0MjNhMTIifQ=="/>
  </w:docVars>
  <w:rsids>
    <w:rsidRoot w:val="00000000"/>
    <w:rsid w:val="0A86004A"/>
    <w:rsid w:val="0C8F133E"/>
    <w:rsid w:val="114E17AD"/>
    <w:rsid w:val="13573016"/>
    <w:rsid w:val="1D759626"/>
    <w:rsid w:val="21211591"/>
    <w:rsid w:val="256C49E6"/>
    <w:rsid w:val="25751CB2"/>
    <w:rsid w:val="290851A4"/>
    <w:rsid w:val="2C055E5B"/>
    <w:rsid w:val="2F757452"/>
    <w:rsid w:val="2FD827FE"/>
    <w:rsid w:val="30040642"/>
    <w:rsid w:val="38073014"/>
    <w:rsid w:val="3C020D8D"/>
    <w:rsid w:val="3ECE545F"/>
    <w:rsid w:val="437C7795"/>
    <w:rsid w:val="5BA3EC21"/>
    <w:rsid w:val="5E7E5731"/>
    <w:rsid w:val="62AF565B"/>
    <w:rsid w:val="632411E5"/>
    <w:rsid w:val="63EF7DBE"/>
    <w:rsid w:val="687F761B"/>
    <w:rsid w:val="6F9B54C7"/>
    <w:rsid w:val="6FFF0D8E"/>
    <w:rsid w:val="7CFF6D91"/>
    <w:rsid w:val="7D6C3184"/>
    <w:rsid w:val="7D9F92CB"/>
    <w:rsid w:val="7DDFB620"/>
    <w:rsid w:val="7E8FCFEF"/>
    <w:rsid w:val="7EBDBDF0"/>
    <w:rsid w:val="7FCF515E"/>
    <w:rsid w:val="7FF6DB6D"/>
    <w:rsid w:val="9EFDBD7A"/>
    <w:rsid w:val="B3FE6C1A"/>
    <w:rsid w:val="B7EC568C"/>
    <w:rsid w:val="BBF275C0"/>
    <w:rsid w:val="BBFBB96B"/>
    <w:rsid w:val="BFAD9F17"/>
    <w:rsid w:val="CFEF5423"/>
    <w:rsid w:val="DEDF3A48"/>
    <w:rsid w:val="DF7F0C30"/>
    <w:rsid w:val="E5EE8ED8"/>
    <w:rsid w:val="E7570403"/>
    <w:rsid w:val="F67AE1C3"/>
    <w:rsid w:val="FCFF5C5B"/>
    <w:rsid w:val="FDB6F439"/>
    <w:rsid w:val="FEFBD5EC"/>
    <w:rsid w:val="FF2DD064"/>
    <w:rsid w:val="FF5EF87D"/>
    <w:rsid w:val="FFFFE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4">
    <w:name w:val="Plain Text"/>
    <w:basedOn w:val="1"/>
    <w:qFormat/>
    <w:uiPriority w:val="0"/>
    <w:rPr>
      <w:rFonts w:ascii="方正书宋_GBK" w:hAnsi="DejaVu Sans"/>
    </w:rPr>
  </w:style>
  <w:style w:type="paragraph" w:styleId="5">
    <w:name w:val="Body Text"/>
    <w:basedOn w:val="1"/>
    <w:next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7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2"/>
    <w:basedOn w:val="1"/>
    <w:next w:val="1"/>
    <w:qFormat/>
    <w:uiPriority w:val="0"/>
    <w:pPr>
      <w:kinsoku w:val="0"/>
      <w:overflowPunct w:val="0"/>
      <w:autoSpaceDE w:val="0"/>
      <w:autoSpaceDN w:val="0"/>
      <w:spacing w:line="20" w:lineRule="exact"/>
      <w:ind w:firstLine="640" w:firstLineChars="200"/>
    </w:pPr>
    <w:rPr>
      <w:rFonts w:ascii="楷体_GB2312" w:hAnsi="黑体" w:eastAsia="楷体_GB2312" w:cs="楷体_GB2312"/>
      <w:kern w:val="0"/>
      <w:sz w:val="32"/>
      <w:szCs w:val="32"/>
    </w:rPr>
  </w:style>
  <w:style w:type="paragraph" w:styleId="10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paragraph" w:styleId="11">
    <w:name w:val="Body Text First Indent 2"/>
    <w:basedOn w:val="6"/>
    <w:next w:val="1"/>
    <w:unhideWhenUsed/>
    <w:qFormat/>
    <w:uiPriority w:val="99"/>
    <w:pPr>
      <w:widowControl w:val="0"/>
      <w:adjustRightInd/>
      <w:snapToGrid/>
      <w:spacing w:before="100" w:beforeAutospacing="1"/>
      <w:ind w:firstLine="420" w:firstLineChars="200"/>
      <w:jc w:val="both"/>
    </w:pPr>
    <w:rPr>
      <w:rFonts w:ascii="等线" w:hAnsi="等线" w:eastAsia="宋体" w:cs="Times New Roman"/>
      <w:kern w:val="2"/>
      <w:sz w:val="21"/>
      <w:szCs w:val="21"/>
    </w:rPr>
  </w:style>
  <w:style w:type="paragraph" w:customStyle="1" w:styleId="14">
    <w:name w:val="正文首行缩进 21"/>
    <w:basedOn w:val="1"/>
    <w:qFormat/>
    <w:uiPriority w:val="0"/>
    <w:pPr>
      <w:spacing w:after="120" w:afterLines="0"/>
      <w:ind w:left="420" w:leftChars="200" w:firstLine="420" w:firstLineChars="200"/>
    </w:pPr>
    <w:rPr>
      <w:rFonts w:ascii="Times New Roman" w:hAnsi="Times New Roman"/>
    </w:rPr>
  </w:style>
  <w:style w:type="paragraph" w:customStyle="1" w:styleId="15">
    <w:name w:val="Body Text First Indent 21"/>
    <w:basedOn w:val="16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6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  <w:szCs w:val="20"/>
    </w:rPr>
  </w:style>
  <w:style w:type="character" w:customStyle="1" w:styleId="17">
    <w:name w:val="NormalCharacter"/>
    <w:basedOn w:val="13"/>
    <w:link w:val="18"/>
    <w:semiHidden/>
    <w:qFormat/>
    <w:uiPriority w:val="0"/>
  </w:style>
  <w:style w:type="paragraph" w:customStyle="1" w:styleId="18">
    <w:name w:val="UserStyle_2"/>
    <w:basedOn w:val="1"/>
    <w:link w:val="17"/>
    <w:qFormat/>
    <w:uiPriority w:val="0"/>
    <w:pPr>
      <w:widowControl/>
      <w:spacing w:after="160" w:line="240" w:lineRule="exact"/>
      <w:ind w:firstLine="880" w:firstLineChars="200"/>
      <w:jc w:val="left"/>
      <w:textAlignment w:val="baseline"/>
    </w:pPr>
  </w:style>
  <w:style w:type="paragraph" w:customStyle="1" w:styleId="19">
    <w:name w:val="toa heading1"/>
    <w:basedOn w:val="1"/>
    <w:next w:val="1"/>
    <w:qFormat/>
    <w:uiPriority w:val="0"/>
    <w:pPr>
      <w:spacing w:before="120" w:beforeLines="0" w:beforeAutospacing="0"/>
    </w:pPr>
    <w:rPr>
      <w:rFonts w:ascii="Arial" w:hAnsi="Arial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1652</Words>
  <Characters>1738</Characters>
  <Lines>0</Lines>
  <Paragraphs>0</Paragraphs>
  <TotalTime>7</TotalTime>
  <ScaleCrop>false</ScaleCrop>
  <LinksUpToDate>false</LinksUpToDate>
  <CharactersWithSpaces>1778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2014-11-02T12:08:00Z</dcterms:created>
  <dc:creator>lenovo</dc:creator>
  <cp:lastModifiedBy>ncj</cp:lastModifiedBy>
  <cp:lastPrinted>2023-06-03T06:52:00Z</cp:lastPrinted>
  <dcterms:modified xsi:type="dcterms:W3CDTF">2024-02-01T11:32:13Z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BE7B60737E334190A4650B736BC1FEA9</vt:lpwstr>
  </property>
</Properties>
</file>