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line="560" w:lineRule="exact"/>
        <w:jc w:val="center"/>
        <w:textAlignment w:val="auto"/>
        <w:rPr>
          <w:rFonts w:hint="eastAsia" w:ascii="宋体" w:hAnsi="宋体" w:eastAsia="宋体" w:cs="宋体"/>
          <w:b/>
          <w:bCs/>
          <w:sz w:val="44"/>
          <w:szCs w:val="44"/>
          <w:lang w:val="zh-CN" w:eastAsia="zh-CN"/>
        </w:rPr>
      </w:pPr>
    </w:p>
    <w:p>
      <w:pPr>
        <w:pStyle w:val="14"/>
        <w:keepNext w:val="0"/>
        <w:keepLines w:val="0"/>
        <w:pageBreakBefore w:val="0"/>
        <w:widowControl w:val="0"/>
        <w:kinsoku/>
        <w:wordWrap/>
        <w:overflowPunct/>
        <w:topLinePunct w:val="0"/>
        <w:bidi w:val="0"/>
        <w:adjustRightInd/>
        <w:snapToGrid/>
        <w:spacing w:line="560" w:lineRule="exact"/>
        <w:jc w:val="center"/>
        <w:textAlignment w:val="auto"/>
        <w:rPr>
          <w:rFonts w:hint="eastAsia"/>
          <w:lang w:val="zh-CN" w:eastAsia="zh-CN"/>
        </w:rPr>
      </w:pPr>
    </w:p>
    <w:p>
      <w:pPr>
        <w:keepNext w:val="0"/>
        <w:keepLines w:val="0"/>
        <w:pageBreakBefore w:val="0"/>
        <w:widowControl w:val="0"/>
        <w:kinsoku/>
        <w:wordWrap/>
        <w:overflowPunct/>
        <w:topLinePunct w:val="0"/>
        <w:autoSpaceDE/>
        <w:autoSpaceDN/>
        <w:bidi w:val="0"/>
        <w:adjustRightInd/>
        <w:snapToGrid/>
        <w:spacing w:line="560" w:lineRule="exact"/>
        <w:ind w:right="0" w:firstLine="5120" w:firstLineChars="1600"/>
        <w:jc w:val="right"/>
        <w:textAlignment w:val="auto"/>
        <w:rPr>
          <w:rFonts w:hint="eastAsia" w:ascii="仿宋_GB2312" w:hAnsi="仿宋_GB2312" w:eastAsia="仿宋_GB2312" w:cs="仿宋_GB2312"/>
          <w:sz w:val="32"/>
          <w:szCs w:val="32"/>
          <w:u w:val="none"/>
          <w:lang w:eastAsia="zh-CN"/>
        </w:rPr>
      </w:pPr>
      <w:r>
        <w:rPr>
          <w:rFonts w:hint="eastAsia" w:ascii="仿宋_GB2312" w:hAnsi="仿宋_GB2312" w:eastAsia="仿宋_GB2312" w:cs="仿宋_GB2312"/>
          <w:sz w:val="32"/>
          <w:szCs w:val="32"/>
          <w:u w:val="none"/>
        </w:rPr>
        <w:t>是否同意公开：</w:t>
      </w:r>
      <w:r>
        <w:rPr>
          <w:rFonts w:hint="eastAsia" w:ascii="仿宋_GB2312" w:hAnsi="仿宋_GB2312" w:eastAsia="仿宋_GB2312" w:cs="仿宋_GB2312"/>
          <w:sz w:val="32"/>
          <w:szCs w:val="32"/>
          <w:u w:val="none"/>
          <w:lang w:eastAsia="zh-CN"/>
        </w:rPr>
        <w:t>是</w:t>
      </w:r>
    </w:p>
    <w:p>
      <w:pPr>
        <w:keepNext w:val="0"/>
        <w:keepLines w:val="0"/>
        <w:pageBreakBefore w:val="0"/>
        <w:widowControl w:val="0"/>
        <w:kinsoku/>
        <w:wordWrap/>
        <w:overflowPunct/>
        <w:topLinePunct w:val="0"/>
        <w:autoSpaceDE/>
        <w:autoSpaceDN/>
        <w:bidi w:val="0"/>
        <w:adjustRightInd/>
        <w:snapToGrid/>
        <w:spacing w:line="560" w:lineRule="exact"/>
        <w:ind w:right="0" w:firstLine="7040" w:firstLineChars="2200"/>
        <w:jc w:val="left"/>
        <w:textAlignment w:val="auto"/>
        <w:rPr>
          <w:rFonts w:hint="default"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rPr>
        <w:t>办理结果</w:t>
      </w:r>
      <w:r>
        <w:rPr>
          <w:rFonts w:hint="eastAsia" w:ascii="仿宋_GB2312" w:hAnsi="仿宋_GB2312" w:eastAsia="仿宋_GB2312" w:cs="仿宋_GB2312"/>
          <w:sz w:val="32"/>
          <w:szCs w:val="32"/>
          <w:u w:val="none"/>
          <w:lang w:val="en-US" w:eastAsia="zh-CN"/>
        </w:rPr>
        <w:t>：A</w:t>
      </w: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val="en-US" w:eastAsia="zh-CN"/>
        </w:rPr>
        <w:t xml:space="preserve"> </w:t>
      </w:r>
      <w:r>
        <w:rPr>
          <w:rFonts w:hint="eastAsia" w:ascii="仿宋_GB2312" w:hAnsi="仿宋_GB2312" w:eastAsia="仿宋_GB2312" w:cs="仿宋_GB2312"/>
          <w:sz w:val="32"/>
          <w:szCs w:val="32"/>
          <w:u w:val="none"/>
          <w:lang w:eastAsia="zh-CN"/>
        </w:rPr>
        <w:t>邢农提案</w:t>
      </w:r>
      <w:r>
        <w:rPr>
          <w:rFonts w:hint="eastAsia" w:ascii="仿宋_GB2312" w:hAnsi="仿宋_GB2312" w:eastAsia="仿宋_GB2312" w:cs="仿宋_GB2312"/>
          <w:sz w:val="32"/>
          <w:szCs w:val="32"/>
          <w:u w:val="none"/>
        </w:rPr>
        <w:t>字〔20</w:t>
      </w:r>
      <w:r>
        <w:rPr>
          <w:rFonts w:hint="eastAsia" w:ascii="仿宋_GB2312" w:hAnsi="仿宋_GB2312" w:eastAsia="仿宋_GB2312" w:cs="仿宋_GB2312"/>
          <w:sz w:val="32"/>
          <w:szCs w:val="32"/>
          <w:u w:val="none"/>
          <w:lang w:val="en-US" w:eastAsia="zh-CN"/>
        </w:rPr>
        <w:t>23</w:t>
      </w:r>
      <w:r>
        <w:rPr>
          <w:rFonts w:hint="eastAsia" w:ascii="仿宋_GB2312" w:hAnsi="仿宋_GB2312" w:eastAsia="仿宋_GB2312" w:cs="仿宋_GB2312"/>
          <w:sz w:val="32"/>
          <w:szCs w:val="32"/>
          <w:u w:val="none"/>
        </w:rPr>
        <w:t>〕</w:t>
      </w:r>
      <w:r>
        <w:rPr>
          <w:rFonts w:hint="eastAsia" w:ascii="仿宋_GB2312" w:hAnsi="仿宋_GB2312" w:eastAsia="仿宋_GB2312" w:cs="仿宋_GB2312"/>
          <w:sz w:val="32"/>
          <w:szCs w:val="32"/>
          <w:u w:val="none"/>
          <w:lang w:val="en-US" w:eastAsia="zh-CN"/>
        </w:rPr>
        <w:t>13</w:t>
      </w:r>
      <w:r>
        <w:rPr>
          <w:rFonts w:hint="eastAsia" w:ascii="仿宋_GB2312" w:hAnsi="仿宋_GB2312" w:eastAsia="仿宋_GB2312" w:cs="仿宋_GB2312"/>
          <w:sz w:val="32"/>
          <w:szCs w:val="32"/>
          <w:u w:val="none"/>
        </w:rPr>
        <w:t>号</w:t>
      </w:r>
    </w:p>
    <w:p>
      <w:pPr>
        <w:pStyle w:val="2"/>
        <w:keepNext w:val="0"/>
        <w:keepLines w:val="0"/>
        <w:pageBreakBefore w:val="0"/>
        <w:widowControl w:val="0"/>
        <w:kinsoku/>
        <w:wordWrap/>
        <w:overflowPunct/>
        <w:topLinePunct w:val="0"/>
        <w:bidi w:val="0"/>
        <w:adjustRightInd/>
        <w:snapToGrid/>
        <w:spacing w:line="560" w:lineRule="exact"/>
        <w:textAlignment w:val="auto"/>
        <w:rPr>
          <w:rFonts w:hint="eastAsia"/>
          <w:lang w:val="zh-CN" w:eastAsia="zh-CN"/>
        </w:rPr>
      </w:pPr>
    </w:p>
    <w:p>
      <w:pPr>
        <w:keepNext w:val="0"/>
        <w:keepLines w:val="0"/>
        <w:pageBreakBefore w:val="0"/>
        <w:widowControl w:val="0"/>
        <w:kinsoku/>
        <w:wordWrap/>
        <w:overflowPunct/>
        <w:topLinePunct w:val="0"/>
        <w:autoSpaceDE/>
        <w:autoSpaceDN/>
        <w:bidi w:val="0"/>
        <w:adjustRightInd/>
        <w:snapToGrid/>
        <w:spacing w:line="560" w:lineRule="exact"/>
        <w:ind w:right="0"/>
        <w:jc w:val="center"/>
        <w:textAlignment w:val="auto"/>
        <w:outlineLvl w:val="9"/>
        <w:rPr>
          <w:rFonts w:hint="eastAsia" w:ascii="方正小标宋简体" w:hAnsi="方正小标宋_GBK" w:eastAsia="方正小标宋简体" w:cs="方正小标宋_GBK"/>
          <w:color w:val="auto"/>
          <w:sz w:val="44"/>
          <w:szCs w:val="44"/>
          <w:lang w:val="en-US" w:eastAsia="zh-CN"/>
        </w:rPr>
      </w:pPr>
      <w:r>
        <w:rPr>
          <w:rFonts w:hint="eastAsia" w:ascii="方正小标宋简体" w:hAnsi="方正小标宋_GBK" w:eastAsia="方正小标宋简体" w:cs="方正小标宋_GBK"/>
          <w:color w:val="auto"/>
          <w:sz w:val="44"/>
          <w:szCs w:val="44"/>
          <w:lang w:val="en-US" w:eastAsia="zh-CN"/>
        </w:rPr>
        <w:t>邢台市农业农村局</w:t>
      </w:r>
    </w:p>
    <w:p>
      <w:pPr>
        <w:keepNext w:val="0"/>
        <w:keepLines w:val="0"/>
        <w:pageBreakBefore w:val="0"/>
        <w:widowControl w:val="0"/>
        <w:kinsoku/>
        <w:wordWrap/>
        <w:overflowPunct/>
        <w:topLinePunct w:val="0"/>
        <w:autoSpaceDE/>
        <w:autoSpaceDN/>
        <w:bidi w:val="0"/>
        <w:adjustRightInd/>
        <w:snapToGrid/>
        <w:spacing w:line="560" w:lineRule="exact"/>
        <w:ind w:right="0"/>
        <w:jc w:val="center"/>
        <w:textAlignment w:val="auto"/>
        <w:outlineLvl w:val="9"/>
        <w:rPr>
          <w:rFonts w:hint="eastAsia" w:ascii="方正小标宋简体" w:hAnsi="方正小标宋_GBK" w:eastAsia="方正小标宋简体" w:cs="方正小标宋_GBK"/>
          <w:color w:val="auto"/>
          <w:sz w:val="44"/>
          <w:szCs w:val="44"/>
          <w:lang w:val="en-US" w:eastAsia="zh-CN"/>
        </w:rPr>
      </w:pPr>
      <w:r>
        <w:rPr>
          <w:rFonts w:hint="eastAsia" w:ascii="方正小标宋简体" w:hAnsi="方正小标宋_GBK" w:eastAsia="方正小标宋简体" w:cs="方正小标宋_GBK"/>
          <w:color w:val="auto"/>
          <w:sz w:val="44"/>
          <w:szCs w:val="44"/>
          <w:lang w:val="en-US" w:eastAsia="zh-CN"/>
        </w:rPr>
        <w:t>对政协邢台市第十四届委员会</w:t>
      </w:r>
    </w:p>
    <w:p>
      <w:pPr>
        <w:keepNext w:val="0"/>
        <w:keepLines w:val="0"/>
        <w:pageBreakBefore w:val="0"/>
        <w:widowControl w:val="0"/>
        <w:kinsoku/>
        <w:wordWrap/>
        <w:overflowPunct/>
        <w:topLinePunct w:val="0"/>
        <w:autoSpaceDE/>
        <w:autoSpaceDN/>
        <w:bidi w:val="0"/>
        <w:adjustRightInd/>
        <w:snapToGrid/>
        <w:spacing w:line="560" w:lineRule="exact"/>
        <w:ind w:right="0"/>
        <w:jc w:val="center"/>
        <w:textAlignment w:val="auto"/>
        <w:outlineLvl w:val="9"/>
        <w:rPr>
          <w:rFonts w:hint="eastAsia" w:ascii="方正小标宋简体" w:hAnsi="方正小标宋_GBK" w:eastAsia="方正小标宋简体" w:cs="方正小标宋_GBK"/>
          <w:color w:val="auto"/>
          <w:sz w:val="44"/>
          <w:szCs w:val="44"/>
          <w:lang w:val="en-US" w:eastAsia="zh-CN"/>
        </w:rPr>
      </w:pPr>
      <w:r>
        <w:rPr>
          <w:rFonts w:hint="eastAsia" w:ascii="方正小标宋简体" w:hAnsi="方正小标宋_GBK" w:eastAsia="方正小标宋简体" w:cs="方正小标宋_GBK"/>
          <w:color w:val="auto"/>
          <w:sz w:val="44"/>
          <w:szCs w:val="44"/>
          <w:lang w:val="en-US" w:eastAsia="zh-CN"/>
        </w:rPr>
        <w:t>第三次会议第209号提案的答复</w:t>
      </w:r>
    </w:p>
    <w:p>
      <w:pPr>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textAlignment w:val="auto"/>
        <w:rPr>
          <w:rFonts w:hint="eastAsia" w:eastAsia="仿宋_GB2312" w:cs="Times New Roman"/>
          <w:sz w:val="32"/>
          <w:szCs w:val="32"/>
          <w:lang w:val="zh-CN"/>
        </w:rPr>
      </w:pPr>
    </w:p>
    <w:p>
      <w:pPr>
        <w:keepNext w:val="0"/>
        <w:keepLines w:val="0"/>
        <w:pageBreakBefore w:val="0"/>
        <w:widowControl w:val="0"/>
        <w:kinsoku/>
        <w:wordWrap/>
        <w:overflowPunct/>
        <w:topLinePunct w:val="0"/>
        <w:autoSpaceDE w:val="0"/>
        <w:autoSpaceDN w:val="0"/>
        <w:bidi w:val="0"/>
        <w:adjustRightInd/>
        <w:snapToGrid/>
        <w:spacing w:line="560" w:lineRule="exact"/>
        <w:textAlignment w:val="auto"/>
        <w:rPr>
          <w:rFonts w:hint="eastAsia" w:eastAsia="仿宋_GB2312" w:cs="Times New Roman"/>
          <w:sz w:val="32"/>
          <w:szCs w:val="32"/>
          <w:lang w:val="zh-CN"/>
        </w:rPr>
      </w:pPr>
      <w:r>
        <w:rPr>
          <w:rFonts w:hint="eastAsia" w:eastAsia="仿宋_GB2312" w:cs="Times New Roman"/>
          <w:sz w:val="32"/>
          <w:szCs w:val="32"/>
          <w:lang w:val="en-US" w:eastAsia="zh-CN"/>
        </w:rPr>
        <w:t>民建邢台市委：</w:t>
      </w:r>
    </w:p>
    <w:p>
      <w:pPr>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textAlignment w:val="auto"/>
        <w:rPr>
          <w:rFonts w:hint="eastAsia"/>
          <w:lang w:val="zh-CN"/>
        </w:rPr>
      </w:pPr>
      <w:r>
        <w:rPr>
          <w:rFonts w:hint="eastAsia" w:eastAsia="仿宋_GB2312" w:cs="Times New Roman"/>
          <w:sz w:val="32"/>
          <w:szCs w:val="32"/>
          <w:lang w:val="en-US" w:eastAsia="zh-CN"/>
        </w:rPr>
        <w:t>贵委员提出的“放大产业集群效应，加快区域公共品牌建设”的提案收悉。</w:t>
      </w:r>
      <w:r>
        <w:rPr>
          <w:rFonts w:hint="eastAsia" w:ascii="仿宋_GB2312" w:hAnsi="仿宋_GB2312" w:eastAsia="仿宋_GB2312" w:cs="仿宋_GB2312"/>
          <w:sz w:val="32"/>
          <w:szCs w:val="32"/>
          <w:lang w:eastAsia="zh-CN"/>
        </w:rPr>
        <w:t>我局高度重视，认真研究，积极抓好落实。现结合工作实际答复</w:t>
      </w:r>
      <w:r>
        <w:rPr>
          <w:rFonts w:hint="eastAsia" w:ascii="仿宋_GB2312" w:hAnsi="仿宋_GB2312" w:eastAsia="仿宋_GB2312" w:cs="仿宋_GB2312"/>
          <w:sz w:val="32"/>
          <w:szCs w:val="32"/>
        </w:rPr>
        <w:t>如下：</w:t>
      </w:r>
    </w:p>
    <w:p>
      <w:pPr>
        <w:keepNext w:val="0"/>
        <w:keepLines w:val="0"/>
        <w:pageBreakBefore w:val="0"/>
        <w:widowControl w:val="0"/>
        <w:kinsoku/>
        <w:wordWrap/>
        <w:overflowPunct/>
        <w:topLinePunct w:val="0"/>
        <w:bidi w:val="0"/>
        <w:adjustRightInd/>
        <w:snapToGrid/>
        <w:spacing w:line="560" w:lineRule="exact"/>
        <w:ind w:firstLine="640" w:firstLineChars="200"/>
        <w:textAlignment w:val="auto"/>
        <w:rPr>
          <w:rFonts w:hint="eastAsia" w:ascii="楷体_GB2312" w:hAnsi="楷体_GB2312" w:eastAsia="楷体_GB2312" w:cs="楷体_GB2312"/>
          <w:sz w:val="32"/>
          <w:szCs w:val="32"/>
          <w:lang w:eastAsia="zh-CN"/>
        </w:rPr>
      </w:pPr>
      <w:r>
        <w:rPr>
          <w:rFonts w:hint="eastAsia" w:ascii="黑体" w:hAnsi="黑体" w:eastAsia="黑体" w:cs="黑体"/>
          <w:sz w:val="32"/>
          <w:szCs w:val="32"/>
          <w:lang w:eastAsia="zh-CN"/>
        </w:rPr>
        <w:t>一、发言建议办理情况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color w:val="auto"/>
          <w:sz w:val="32"/>
          <w:szCs w:val="32"/>
          <w:lang w:eastAsia="zh-CN"/>
        </w:rPr>
      </w:pPr>
      <w:r>
        <w:rPr>
          <w:rFonts w:hint="eastAsia" w:ascii="仿宋_GB2312" w:hAnsi="仿宋_GB2312" w:eastAsia="仿宋_GB2312" w:cs="仿宋_GB2312"/>
          <w:sz w:val="32"/>
          <w:szCs w:val="32"/>
          <w:lang w:val="en-US" w:eastAsia="zh-CN"/>
        </w:rPr>
        <w:t>发展品牌农业</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是农业现代化的核心，对实现农业增效、促进农民增收、助力乡村振兴具有重要意义。</w:t>
      </w:r>
      <w:r>
        <w:rPr>
          <w:rFonts w:hint="eastAsia" w:ascii="仿宋_GB2312" w:hAnsi="仿宋_GB2312" w:eastAsia="仿宋_GB2312" w:cs="仿宋_GB2312"/>
          <w:color w:val="auto"/>
          <w:sz w:val="32"/>
          <w:szCs w:val="32"/>
          <w:shd w:val="clear" w:color="auto" w:fill="auto"/>
          <w:lang w:val="en-US" w:eastAsia="zh-CN"/>
        </w:rPr>
        <w:t>近几年</w:t>
      </w:r>
      <w:r>
        <w:rPr>
          <w:rFonts w:hint="eastAsia" w:ascii="仿宋_GB2312" w:hAnsi="仿宋_GB2312" w:eastAsia="仿宋_GB2312" w:cs="仿宋_GB2312"/>
          <w:color w:val="auto"/>
          <w:sz w:val="32"/>
          <w:szCs w:val="32"/>
          <w:shd w:val="clear" w:color="auto" w:fill="auto"/>
        </w:rPr>
        <w:t>我市大力实施农业品牌战略，取得良好成效</w:t>
      </w:r>
      <w:r>
        <w:rPr>
          <w:rFonts w:hint="eastAsia" w:ascii="仿宋_GB2312" w:hAnsi="仿宋_GB2312" w:eastAsia="仿宋_GB2312" w:cs="仿宋_GB2312"/>
          <w:color w:val="auto"/>
          <w:sz w:val="32"/>
          <w:szCs w:val="32"/>
          <w:shd w:val="clear" w:color="auto" w:fill="auto"/>
          <w:lang w:eastAsia="zh-CN"/>
        </w:rPr>
        <w:t>。</w:t>
      </w:r>
      <w:r>
        <w:rPr>
          <w:rFonts w:hint="eastAsia" w:ascii="仿宋_GB2312" w:hAnsi="仿宋_GB2312" w:eastAsia="仿宋_GB2312" w:cs="仿宋_GB2312"/>
          <w:color w:val="auto"/>
          <w:sz w:val="32"/>
          <w:szCs w:val="32"/>
          <w:shd w:val="clear" w:color="auto" w:fill="auto"/>
        </w:rPr>
        <w:t>截</w:t>
      </w:r>
      <w:r>
        <w:rPr>
          <w:rFonts w:hint="eastAsia" w:ascii="仿宋_GB2312" w:hAnsi="仿宋_GB2312" w:eastAsia="仿宋_GB2312" w:cs="仿宋_GB2312"/>
          <w:color w:val="000000"/>
          <w:sz w:val="32"/>
          <w:szCs w:val="32"/>
        </w:rPr>
        <w:t>至</w:t>
      </w:r>
      <w:r>
        <w:rPr>
          <w:rFonts w:hint="eastAsia" w:ascii="仿宋_GB2312" w:hAnsi="仿宋_GB2312" w:eastAsia="仿宋_GB2312" w:cs="仿宋_GB2312"/>
          <w:color w:val="000000"/>
          <w:sz w:val="32"/>
          <w:szCs w:val="32"/>
          <w:lang w:val="en-US" w:eastAsia="zh-CN"/>
        </w:rPr>
        <w:t>目前</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auto"/>
          <w:sz w:val="32"/>
          <w:szCs w:val="32"/>
        </w:rPr>
        <w:t>省级</w:t>
      </w:r>
      <w:r>
        <w:rPr>
          <w:rFonts w:hint="eastAsia" w:ascii="仿宋_GB2312" w:hAnsi="仿宋_GB2312" w:eastAsia="仿宋_GB2312" w:cs="仿宋_GB2312"/>
          <w:color w:val="auto"/>
          <w:sz w:val="32"/>
          <w:szCs w:val="32"/>
          <w:lang w:val="en-US" w:eastAsia="zh-CN"/>
        </w:rPr>
        <w:t>农产品</w:t>
      </w:r>
      <w:r>
        <w:rPr>
          <w:rFonts w:hint="eastAsia" w:ascii="仿宋_GB2312" w:hAnsi="仿宋_GB2312" w:eastAsia="仿宋_GB2312" w:cs="仿宋_GB2312"/>
          <w:color w:val="auto"/>
          <w:sz w:val="32"/>
          <w:szCs w:val="32"/>
        </w:rPr>
        <w:t>区域公用品牌</w:t>
      </w:r>
      <w:r>
        <w:rPr>
          <w:rFonts w:hint="eastAsia" w:ascii="仿宋_GB2312" w:hAnsi="仿宋_GB2312" w:eastAsia="仿宋_GB2312" w:cs="仿宋_GB2312"/>
          <w:color w:val="auto"/>
          <w:sz w:val="32"/>
          <w:szCs w:val="32"/>
          <w:lang w:val="en-US" w:eastAsia="zh-CN"/>
        </w:rPr>
        <w:t>达到14</w:t>
      </w:r>
      <w:r>
        <w:rPr>
          <w:rFonts w:hint="eastAsia" w:ascii="仿宋_GB2312" w:hAnsi="仿宋_GB2312" w:eastAsia="仿宋_GB2312" w:cs="仿宋_GB2312"/>
          <w:color w:val="auto"/>
          <w:sz w:val="32"/>
          <w:szCs w:val="32"/>
        </w:rPr>
        <w:t>个</w:t>
      </w:r>
      <w:r>
        <w:rPr>
          <w:rFonts w:hint="eastAsia" w:ascii="仿宋_GB2312" w:hAnsi="仿宋_GB2312" w:eastAsia="仿宋_GB2312" w:cs="仿宋_GB2312"/>
          <w:sz w:val="32"/>
          <w:szCs w:val="32"/>
          <w:lang w:val="en-US" w:eastAsia="zh-CN"/>
        </w:rPr>
        <w:t>，其中临城核桃、巨鹿金银花入选中国百强农产品区域公用品牌，巨鹿金银花入选2019中国农业品牌目录，河北绿岭果业有限公司“绿岭”核桃入选2020中国农业品牌目录,</w:t>
      </w:r>
      <w:r>
        <w:rPr>
          <w:rFonts w:hint="eastAsia" w:ascii="仿宋_GB2312" w:hAnsi="仿宋_GB2312" w:eastAsia="仿宋_GB2312" w:cs="仿宋_GB2312"/>
          <w:color w:val="auto"/>
          <w:sz w:val="32"/>
          <w:szCs w:val="32"/>
        </w:rPr>
        <w:t>领军企业品牌</w:t>
      </w:r>
      <w:r>
        <w:rPr>
          <w:rFonts w:hint="eastAsia" w:ascii="仿宋_GB2312" w:hAnsi="仿宋_GB2312" w:eastAsia="仿宋_GB2312" w:cs="仿宋_GB2312"/>
          <w:color w:val="auto"/>
          <w:sz w:val="32"/>
          <w:szCs w:val="32"/>
          <w:lang w:val="en-US" w:eastAsia="zh-CN"/>
        </w:rPr>
        <w:t>达到10</w:t>
      </w:r>
      <w:r>
        <w:rPr>
          <w:rFonts w:hint="eastAsia" w:ascii="仿宋_GB2312" w:hAnsi="仿宋_GB2312" w:eastAsia="仿宋_GB2312" w:cs="仿宋_GB2312"/>
          <w:color w:val="auto"/>
          <w:sz w:val="32"/>
          <w:szCs w:val="32"/>
          <w:lang w:eastAsia="zh-CN"/>
        </w:rPr>
        <w:t>个。</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color w:val="auto"/>
          <w:sz w:val="32"/>
          <w:szCs w:val="32"/>
          <w:lang w:eastAsia="zh-CN"/>
        </w:rPr>
        <w:sectPr>
          <w:pgSz w:w="11906" w:h="16838"/>
          <w:pgMar w:top="2098" w:right="1531" w:bottom="1984" w:left="1531" w:header="851" w:footer="1701" w:gutter="0"/>
          <w:pgNumType w:fmt="numberInDash" w:start="2"/>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color w:val="auto"/>
          <w:sz w:val="32"/>
          <w:szCs w:val="32"/>
          <w:lang w:eastAsia="zh-CN"/>
        </w:rPr>
      </w:pPr>
      <w:r>
        <w:rPr>
          <w:rFonts w:hint="eastAsia" w:ascii="黑体" w:hAnsi="黑体" w:eastAsia="黑体" w:cs="黑体"/>
          <w:color w:val="auto"/>
          <w:sz w:val="32"/>
          <w:szCs w:val="32"/>
          <w:lang w:eastAsia="zh-CN"/>
        </w:rPr>
        <w:t>二、主要经验做法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color w:val="000000"/>
          <w:kern w:val="0"/>
          <w:sz w:val="32"/>
          <w:szCs w:val="32"/>
          <w:shd w:val="clear" w:color="auto" w:fill="FFFFFF"/>
          <w:lang w:val="en-US" w:eastAsia="zh-CN" w:bidi="ar-SA"/>
        </w:rPr>
      </w:pPr>
      <w:r>
        <w:rPr>
          <w:rFonts w:hint="eastAsia" w:ascii="楷体_GB2312" w:hAnsi="楷体_GB2312" w:eastAsia="楷体_GB2312" w:cs="楷体_GB2312"/>
          <w:sz w:val="32"/>
          <w:szCs w:val="32"/>
          <w:lang w:eastAsia="zh-CN"/>
        </w:rPr>
        <w:t>（一）</w:t>
      </w:r>
      <w:r>
        <w:rPr>
          <w:rFonts w:hint="eastAsia" w:ascii="楷体_GB2312" w:hAnsi="楷体_GB2312" w:eastAsia="楷体_GB2312" w:cs="楷体_GB2312"/>
          <w:sz w:val="32"/>
          <w:szCs w:val="32"/>
        </w:rPr>
        <w:t>做好区域公用品牌</w:t>
      </w:r>
      <w:r>
        <w:rPr>
          <w:rFonts w:hint="eastAsia" w:ascii="楷体_GB2312" w:hAnsi="楷体_GB2312" w:eastAsia="楷体_GB2312" w:cs="楷体_GB2312"/>
          <w:sz w:val="32"/>
          <w:szCs w:val="32"/>
          <w:lang w:eastAsia="zh-CN"/>
        </w:rPr>
        <w:t>打造</w:t>
      </w:r>
      <w:r>
        <w:rPr>
          <w:rFonts w:hint="eastAsia" w:ascii="楷体_GB2312" w:hAnsi="楷体_GB2312" w:eastAsia="楷体_GB2312" w:cs="楷体_GB2312"/>
          <w:sz w:val="32"/>
          <w:szCs w:val="32"/>
        </w:rPr>
        <w:t>提升</w:t>
      </w:r>
      <w:r>
        <w:rPr>
          <w:rFonts w:hint="eastAsia" w:ascii="楷体_GB2312" w:hAnsi="楷体_GB2312" w:eastAsia="楷体_GB2312" w:cs="楷体_GB2312"/>
          <w:sz w:val="32"/>
          <w:szCs w:val="32"/>
          <w:lang w:eastAsia="zh-CN"/>
        </w:rPr>
        <w:t>。</w:t>
      </w:r>
      <w:r>
        <w:rPr>
          <w:rFonts w:hint="eastAsia" w:ascii="仿宋_GB2312" w:hAnsi="仿宋_GB2312" w:eastAsia="仿宋_GB2312" w:cs="仿宋_GB2312"/>
          <w:b/>
          <w:bCs/>
          <w:sz w:val="32"/>
          <w:szCs w:val="40"/>
          <w:lang w:val="en-US" w:eastAsia="zh-CN"/>
        </w:rPr>
        <w:t>一是</w:t>
      </w:r>
      <w:r>
        <w:rPr>
          <w:rFonts w:hint="eastAsia" w:ascii="仿宋_GB2312" w:hAnsi="仿宋_GB2312" w:eastAsia="仿宋_GB2312" w:cs="仿宋_GB2312"/>
          <w:kern w:val="0"/>
          <w:sz w:val="32"/>
          <w:szCs w:val="32"/>
          <w:lang w:eastAsia="zh-CN"/>
        </w:rPr>
        <w:t>积极打造提升“巨鹿金银花”区域公用品牌。聘请</w:t>
      </w:r>
      <w:r>
        <w:rPr>
          <w:rFonts w:hint="eastAsia" w:ascii="仿宋_GB2312" w:hAnsi="仿宋_GB2312" w:eastAsia="仿宋_GB2312" w:cs="仿宋_GB2312"/>
          <w:kern w:val="0"/>
          <w:sz w:val="32"/>
          <w:szCs w:val="32"/>
        </w:rPr>
        <w:t>第三方专业公司对</w:t>
      </w:r>
      <w:r>
        <w:rPr>
          <w:rFonts w:hint="eastAsia" w:ascii="仿宋_GB2312" w:hAnsi="仿宋_GB2312" w:eastAsia="仿宋_GB2312" w:cs="仿宋_GB2312"/>
          <w:kern w:val="0"/>
          <w:sz w:val="32"/>
          <w:szCs w:val="32"/>
          <w:lang w:eastAsia="zh-CN"/>
        </w:rPr>
        <w:t>巨鹿金银花区域公用</w:t>
      </w:r>
      <w:r>
        <w:rPr>
          <w:rFonts w:hint="eastAsia" w:ascii="仿宋_GB2312" w:hAnsi="仿宋_GB2312" w:eastAsia="仿宋_GB2312" w:cs="仿宋_GB2312"/>
          <w:kern w:val="0"/>
          <w:sz w:val="32"/>
          <w:szCs w:val="32"/>
        </w:rPr>
        <w:t>品牌形象进行创意</w:t>
      </w:r>
      <w:r>
        <w:rPr>
          <w:rFonts w:hint="eastAsia" w:ascii="仿宋_GB2312" w:hAnsi="仿宋_GB2312" w:eastAsia="仿宋_GB2312" w:cs="仿宋_GB2312"/>
          <w:kern w:val="0"/>
          <w:sz w:val="32"/>
          <w:szCs w:val="32"/>
          <w:lang w:eastAsia="zh-CN"/>
        </w:rPr>
        <w:t>策划</w:t>
      </w:r>
      <w:r>
        <w:rPr>
          <w:rFonts w:hint="eastAsia" w:ascii="仿宋_GB2312" w:hAnsi="仿宋_GB2312" w:eastAsia="仿宋_GB2312" w:cs="仿宋_GB2312"/>
          <w:kern w:val="0"/>
          <w:sz w:val="32"/>
          <w:szCs w:val="32"/>
        </w:rPr>
        <w:t>设计，规范品牌视觉应用，并在石家庄召开</w:t>
      </w:r>
      <w:r>
        <w:rPr>
          <w:rFonts w:hint="eastAsia" w:ascii="仿宋_GB2312" w:hAnsi="仿宋_GB2312" w:eastAsia="仿宋_GB2312" w:cs="仿宋_GB2312"/>
          <w:kern w:val="0"/>
          <w:sz w:val="32"/>
          <w:szCs w:val="32"/>
          <w:lang w:eastAsia="zh-CN"/>
        </w:rPr>
        <w:t>了</w:t>
      </w:r>
      <w:r>
        <w:rPr>
          <w:rFonts w:hint="eastAsia" w:ascii="仿宋_GB2312" w:hAnsi="仿宋_GB2312" w:eastAsia="仿宋_GB2312" w:cs="仿宋_GB2312"/>
          <w:kern w:val="0"/>
          <w:sz w:val="32"/>
          <w:szCs w:val="32"/>
        </w:rPr>
        <w:t>“巨鹿金银花”区域公用品牌发布会。</w:t>
      </w:r>
      <w:r>
        <w:rPr>
          <w:rFonts w:hint="eastAsia" w:ascii="仿宋_GB2312" w:hAnsi="仿宋_GB2312" w:eastAsia="仿宋_GB2312" w:cs="仿宋_GB2312"/>
          <w:b/>
          <w:bCs/>
          <w:sz w:val="32"/>
          <w:szCs w:val="40"/>
          <w:lang w:val="en-US" w:eastAsia="zh-CN"/>
        </w:rPr>
        <w:t>二是</w:t>
      </w:r>
      <w:r>
        <w:rPr>
          <w:rFonts w:hint="eastAsia" w:ascii="仿宋_GB2312" w:hAnsi="仿宋_GB2312" w:eastAsia="仿宋_GB2312" w:cs="仿宋_GB2312"/>
          <w:b w:val="0"/>
          <w:bCs w:val="0"/>
          <w:sz w:val="32"/>
          <w:szCs w:val="40"/>
          <w:lang w:val="en-US" w:eastAsia="zh-CN"/>
        </w:rPr>
        <w:t>打造提升邢台酸枣仁区域公用品牌，制定了邢台市酸枣产业发展规划（2021-2025)，成立了酸枣仁品牌专业委员会，</w:t>
      </w:r>
      <w:r>
        <w:rPr>
          <w:rFonts w:hint="eastAsia" w:ascii="仿宋_GB2312" w:hAnsi="仿宋_GB2312" w:eastAsia="仿宋_GB2312" w:cs="仿宋_GB2312"/>
          <w:b w:val="0"/>
          <w:bCs w:val="0"/>
          <w:sz w:val="32"/>
          <w:szCs w:val="40"/>
          <w:lang w:eastAsia="zh-CN"/>
        </w:rPr>
        <w:t>申报并制定了“邢台酸枣仁”产品品质的地方标准（理化指标含量）体系。对品牌的无形资产申请法律保护，除已注册的“邢台酸枣仁”商标之外，还对品牌的图形专利权、主视觉的专利权等申请了保护。将品牌授权企业及流通环节，引入全省中药材产业链大数据平台，实现全程信息可追溯。</w:t>
      </w:r>
      <w:r>
        <w:rPr>
          <w:rFonts w:hint="eastAsia" w:ascii="仿宋_GB2312" w:hAnsi="仿宋_GB2312" w:eastAsia="仿宋_GB2312" w:cs="仿宋_GB2312"/>
          <w:b/>
          <w:bCs/>
          <w:sz w:val="32"/>
          <w:szCs w:val="40"/>
          <w:lang w:eastAsia="zh-CN"/>
        </w:rPr>
        <w:t>三是</w:t>
      </w:r>
      <w:r>
        <w:rPr>
          <w:rFonts w:hint="eastAsia" w:ascii="仿宋_GB2312" w:hAnsi="仿宋_GB2312" w:eastAsia="仿宋_GB2312" w:cs="仿宋_GB2312"/>
          <w:color w:val="000000"/>
          <w:kern w:val="0"/>
          <w:sz w:val="32"/>
          <w:szCs w:val="32"/>
          <w:lang w:val="en-US" w:eastAsia="zh-CN" w:bidi="ar"/>
        </w:rPr>
        <w:t>为夯实农业品牌建设基础，充分调动各县（市、区）打造区域公用品牌的积极性，重点遴选特色突出、优势明显的区域公用品牌进行重点支持，以品牌为引领，重点抓提升。以完善品牌标准、精准宣传营销为重点，支持打造提升清河山楂、南宫黄韭两个区域公用品牌，</w:t>
      </w:r>
      <w:r>
        <w:rPr>
          <w:rFonts w:hint="eastAsia" w:ascii="仿宋_GB2312" w:hAnsi="仿宋_GB2312" w:eastAsia="仿宋_GB2312" w:cs="仿宋_GB2312"/>
          <w:b w:val="0"/>
          <w:bCs/>
          <w:color w:val="000000"/>
          <w:kern w:val="0"/>
          <w:sz w:val="32"/>
          <w:szCs w:val="32"/>
          <w:shd w:val="clear" w:color="auto" w:fill="FFFFFF"/>
          <w:lang w:val="en-US" w:eastAsia="zh-CN" w:bidi="ar-SA"/>
        </w:rPr>
        <w:t>提升其品牌形象,完善其品牌使用标准，拓宽其宣传营销渠道。</w:t>
      </w:r>
      <w:r>
        <w:rPr>
          <w:rFonts w:hint="eastAsia" w:ascii="仿宋_GB2312" w:hAnsi="仿宋_GB2312" w:eastAsia="仿宋_GB2312" w:cs="仿宋_GB2312"/>
          <w:b/>
          <w:bCs w:val="0"/>
          <w:color w:val="000000"/>
          <w:kern w:val="0"/>
          <w:sz w:val="32"/>
          <w:szCs w:val="32"/>
          <w:shd w:val="clear" w:color="auto" w:fill="FFFFFF"/>
          <w:lang w:val="en-US" w:eastAsia="zh-CN" w:bidi="ar-SA"/>
        </w:rPr>
        <w:t>四是</w:t>
      </w:r>
      <w:r>
        <w:rPr>
          <w:rFonts w:hint="eastAsia" w:ascii="仿宋_GB2312" w:hAnsi="仿宋_GB2312" w:eastAsia="仿宋_GB2312" w:cs="仿宋_GB2312"/>
          <w:b w:val="0"/>
          <w:bCs/>
          <w:color w:val="000000"/>
          <w:kern w:val="0"/>
          <w:sz w:val="32"/>
          <w:szCs w:val="32"/>
          <w:shd w:val="clear" w:color="auto" w:fill="FFFFFF"/>
          <w:lang w:val="en-US" w:eastAsia="zh-CN" w:bidi="ar-SA"/>
        </w:rPr>
        <w:t>开展了全域区域公用品牌打造提升活动，塑造邢台农业的整体品牌形象，统领单产业、单品类等农产品区域公用品牌和企业品牌的对外宣传推广，提升品牌形象和</w:t>
      </w:r>
      <w:r>
        <w:rPr>
          <w:rFonts w:hint="eastAsia" w:ascii="仿宋_GB2312" w:hAnsi="仿宋_GB2312" w:eastAsia="仿宋_GB2312" w:cs="仿宋_GB2312"/>
          <w:sz w:val="32"/>
        </w:rPr>
        <w:t>影响力。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sz w:val="32"/>
          <w:szCs w:val="32"/>
          <w:lang w:val="en-US" w:eastAsia="zh-CN"/>
        </w:rPr>
      </w:pPr>
      <w:r>
        <w:rPr>
          <w:rFonts w:hint="eastAsia" w:ascii="楷体_GB2312" w:hAnsi="楷体_GB2312" w:eastAsia="楷体_GB2312" w:cs="楷体_GB2312"/>
          <w:sz w:val="32"/>
          <w:szCs w:val="32"/>
          <w:lang w:eastAsia="zh-CN"/>
        </w:rPr>
        <w:t>（二）广泛宣传名优农产品品牌。</w:t>
      </w:r>
      <w:r>
        <w:rPr>
          <w:rFonts w:hint="eastAsia" w:ascii="仿宋_GB2312" w:hAnsi="仿宋_GB2312" w:eastAsia="仿宋_GB2312" w:cs="仿宋_GB2312"/>
          <w:b/>
          <w:bCs/>
          <w:sz w:val="32"/>
          <w:szCs w:val="32"/>
          <w:shd w:val="clear" w:color="auto" w:fill="FFFFFF"/>
          <w:lang w:val="en-US" w:eastAsia="zh-CN"/>
        </w:rPr>
        <w:t>一是</w:t>
      </w:r>
      <w:r>
        <w:rPr>
          <w:rFonts w:hint="eastAsia" w:ascii="仿宋_GB2312" w:hAnsi="仿宋_GB2312" w:eastAsia="仿宋_GB2312" w:cs="仿宋_GB2312"/>
          <w:b w:val="0"/>
          <w:bCs w:val="0"/>
          <w:sz w:val="32"/>
          <w:szCs w:val="32"/>
          <w:lang w:val="en-US" w:eastAsia="zh-CN"/>
        </w:rPr>
        <w:t>开展了邢台市农产品区域公用品牌集中宣传活动，在10辆公交车身张贴了为期3个月的公交车体广告，同时，在19个公交站牌，10处公交站橱窗广告进行了户外广告宣传；在天一城和北国商城户外大屏进行了为期3个月的农产品广告宣传片的滚动播放；</w:t>
      </w:r>
      <w:r>
        <w:rPr>
          <w:rFonts w:hint="eastAsia" w:ascii="仿宋_GB2312" w:hAnsi="仿宋_GB2312" w:eastAsia="仿宋_GB2312" w:cs="仿宋_GB2312"/>
          <w:b w:val="0"/>
          <w:bCs w:val="0"/>
          <w:kern w:val="0"/>
          <w:sz w:val="32"/>
          <w:szCs w:val="32"/>
        </w:rPr>
        <w:t>在河北日报上宣传隆尧鸡腿葱、浆水苹果、南和金米、巨鹿金银花、宁晋羊肚菌、临城核桃等8个农产品区域公用品牌</w:t>
      </w:r>
      <w:r>
        <w:rPr>
          <w:rFonts w:hint="eastAsia" w:ascii="仿宋_GB2312" w:hAnsi="仿宋_GB2312" w:eastAsia="仿宋_GB2312" w:cs="仿宋_GB2312"/>
          <w:b w:val="0"/>
          <w:bCs w:val="0"/>
          <w:kern w:val="0"/>
          <w:sz w:val="32"/>
          <w:szCs w:val="32"/>
          <w:lang w:eastAsia="zh-CN"/>
        </w:rPr>
        <w:t>。</w:t>
      </w:r>
      <w:r>
        <w:rPr>
          <w:rFonts w:hint="eastAsia" w:ascii="仿宋_GB2312" w:hAnsi="仿宋_GB2312" w:eastAsia="仿宋_GB2312" w:cs="仿宋_GB2312"/>
          <w:b/>
          <w:bCs/>
          <w:kern w:val="0"/>
          <w:sz w:val="32"/>
          <w:szCs w:val="32"/>
          <w:lang w:eastAsia="zh-CN"/>
        </w:rPr>
        <w:t>二</w:t>
      </w:r>
      <w:r>
        <w:rPr>
          <w:rFonts w:hint="eastAsia" w:ascii="仿宋_GB2312" w:hAnsi="仿宋_GB2312" w:eastAsia="仿宋_GB2312" w:cs="仿宋_GB2312"/>
          <w:b/>
          <w:bCs/>
          <w:sz w:val="32"/>
          <w:szCs w:val="32"/>
          <w:shd w:val="clear" w:color="auto" w:fill="FFFFFF"/>
          <w:lang w:val="en-US" w:eastAsia="zh-CN"/>
        </w:rPr>
        <w:t>是</w:t>
      </w:r>
      <w:r>
        <w:rPr>
          <w:rFonts w:hint="eastAsia" w:ascii="仿宋_GB2312" w:hAnsi="仿宋_GB2312" w:eastAsia="仿宋_GB2312" w:cs="仿宋_GB2312"/>
          <w:b w:val="0"/>
          <w:bCs w:val="0"/>
          <w:kern w:val="0"/>
          <w:sz w:val="32"/>
          <w:szCs w:val="32"/>
          <w:lang w:val="en-US" w:eastAsia="zh-CN"/>
        </w:rPr>
        <w:t>利用抖音、微信、腾讯视频等新媒体宣传推介我市农业品牌形象</w:t>
      </w:r>
      <w:r>
        <w:rPr>
          <w:rFonts w:hint="eastAsia" w:ascii="仿宋_GB2312" w:hAnsi="仿宋_GB2312" w:eastAsia="仿宋_GB2312" w:cs="仿宋_GB2312"/>
          <w:b w:val="0"/>
          <w:bCs w:val="0"/>
          <w:i w:val="0"/>
          <w:snapToGrid/>
          <w:color w:val="191919"/>
          <w:sz w:val="32"/>
          <w:szCs w:val="32"/>
          <w:shd w:val="clear" w:color="auto" w:fill="FFFFFF"/>
        </w:rPr>
        <w:t>。</w:t>
      </w:r>
      <w:r>
        <w:rPr>
          <w:rFonts w:hint="eastAsia" w:ascii="仿宋_GB2312" w:hAnsi="仿宋_GB2312" w:eastAsia="仿宋_GB2312" w:cs="仿宋_GB2312"/>
          <w:b w:val="0"/>
          <w:bCs w:val="0"/>
          <w:i w:val="0"/>
          <w:snapToGrid/>
          <w:color w:val="191919"/>
          <w:sz w:val="32"/>
          <w:szCs w:val="32"/>
          <w:shd w:val="clear" w:color="auto" w:fill="FFFFFF"/>
          <w:lang w:eastAsia="zh-CN"/>
        </w:rPr>
        <w:t>筛选出我市</w:t>
      </w:r>
      <w:r>
        <w:rPr>
          <w:rFonts w:hint="eastAsia" w:ascii="仿宋_GB2312" w:hAnsi="仿宋_GB2312" w:eastAsia="仿宋_GB2312" w:cs="仿宋_GB2312"/>
          <w:b w:val="0"/>
          <w:bCs w:val="0"/>
          <w:kern w:val="0"/>
          <w:sz w:val="32"/>
          <w:szCs w:val="32"/>
          <w:lang w:val="en-US" w:eastAsia="zh-CN"/>
        </w:rPr>
        <w:t>23个农产品区域公用品牌对其进行宣传视频的设计、拍摄、制作，</w:t>
      </w:r>
      <w:r>
        <w:rPr>
          <w:rFonts w:hint="eastAsia" w:ascii="仿宋_GB2312" w:hAnsi="仿宋_GB2312" w:eastAsia="仿宋_GB2312" w:cs="仿宋_GB2312"/>
          <w:b w:val="0"/>
          <w:bCs w:val="0"/>
          <w:sz w:val="32"/>
          <w:szCs w:val="32"/>
          <w:lang w:eastAsia="zh-CN"/>
        </w:rPr>
        <w:t>通过为期三个月的抖音、微信、腾讯视频等新媒体对邢台农产品区域公用品牌进行集中宣传和推广活动，</w:t>
      </w:r>
      <w:r>
        <w:rPr>
          <w:rFonts w:hint="eastAsia" w:ascii="仿宋_GB2312" w:hAnsi="仿宋_GB2312" w:eastAsia="仿宋_GB2312" w:cs="仿宋_GB2312"/>
          <w:b/>
          <w:bCs/>
          <w:sz w:val="32"/>
          <w:szCs w:val="32"/>
          <w:lang w:eastAsia="zh-CN"/>
        </w:rPr>
        <w:t>三是</w:t>
      </w:r>
      <w:r>
        <w:rPr>
          <w:rFonts w:hint="eastAsia" w:ascii="仿宋_GB2312" w:hAnsi="仿宋_GB2312" w:eastAsia="仿宋_GB2312" w:cs="仿宋_GB2312"/>
          <w:b w:val="0"/>
          <w:bCs w:val="0"/>
          <w:sz w:val="32"/>
          <w:szCs w:val="40"/>
          <w:lang w:eastAsia="zh-CN"/>
        </w:rPr>
        <w:t>在北京西站候车厅挂壁灯箱进行邢台酸枣仁区域公用品牌广告宣传，宣传周期</w:t>
      </w:r>
      <w:r>
        <w:rPr>
          <w:rFonts w:hint="eastAsia" w:ascii="仿宋_GB2312" w:hAnsi="仿宋_GB2312" w:eastAsia="仿宋_GB2312" w:cs="仿宋_GB2312"/>
          <w:b w:val="0"/>
          <w:bCs w:val="0"/>
          <w:sz w:val="32"/>
          <w:szCs w:val="40"/>
          <w:lang w:val="en-US" w:eastAsia="zh-CN"/>
        </w:rPr>
        <w:t>11个月</w:t>
      </w:r>
      <w:r>
        <w:rPr>
          <w:rFonts w:hint="eastAsia" w:ascii="仿宋_GB2312" w:hAnsi="仿宋_GB2312" w:eastAsia="仿宋_GB2312" w:cs="仿宋_GB2312"/>
          <w:sz w:val="32"/>
          <w:szCs w:val="32"/>
          <w:lang w:eastAsia="zh-CN"/>
        </w:rPr>
        <w:t>，加强面向人口密集地区的品牌农产品的宣传推广。</w:t>
      </w:r>
      <w:r>
        <w:rPr>
          <w:rFonts w:hint="eastAsia" w:ascii="仿宋_GB2312" w:hAnsi="仿宋_GB2312" w:eastAsia="仿宋_GB2312" w:cs="仿宋_GB2312"/>
          <w:b/>
          <w:bCs/>
          <w:sz w:val="32"/>
          <w:szCs w:val="32"/>
          <w:lang w:eastAsia="zh-CN"/>
        </w:rPr>
        <w:t>四是</w:t>
      </w:r>
      <w:r>
        <w:rPr>
          <w:rFonts w:hint="eastAsia" w:ascii="仿宋_GB2312" w:hAnsi="仿宋_GB2312" w:eastAsia="仿宋_GB2312" w:cs="仿宋_GB2312"/>
          <w:b w:val="0"/>
          <w:bCs w:val="0"/>
          <w:sz w:val="32"/>
          <w:szCs w:val="32"/>
          <w:lang w:val="en-US" w:eastAsia="zh-CN"/>
        </w:rPr>
        <w:t>为进一步扩大邢台酸枣仁区域公用品牌影响力和知名度，2023年1月6日-5月5日，我单位在CCTV-2《第一时间》城市天气预报播出期间（早7：03左右）播出邢台酸枣仁区域公用品牌文字加图片宣传画面，宣传我市邢台酸枣仁区域公用品牌。</w:t>
      </w:r>
    </w:p>
    <w:p>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rPr>
          <w:rFonts w:hint="eastAsia" w:ascii="仿宋_GB2312" w:hAnsi="仿宋_GB2312" w:eastAsia="仿宋_GB2312" w:cs="仿宋_GB2312"/>
          <w:b w:val="0"/>
          <w:bCs w:val="0"/>
          <w:color w:val="auto"/>
          <w:kern w:val="2"/>
          <w:sz w:val="32"/>
          <w:szCs w:val="32"/>
          <w:highlight w:val="none"/>
          <w:shd w:val="clear" w:color="auto" w:fill="FFFFFF"/>
          <w:lang w:val="en-US" w:eastAsia="zh-CN" w:bidi="ar-SA"/>
        </w:rPr>
      </w:pPr>
      <w:r>
        <w:rPr>
          <w:rFonts w:hint="eastAsia" w:ascii="楷体_GB2312" w:hAnsi="楷体_GB2312" w:eastAsia="楷体_GB2312" w:cs="楷体_GB2312"/>
          <w:sz w:val="32"/>
          <w:szCs w:val="32"/>
          <w:lang w:val="en-US" w:eastAsia="zh-CN"/>
        </w:rPr>
        <w:t>（三）形成了一批优势乡村产业。</w:t>
      </w:r>
      <w:r>
        <w:rPr>
          <w:rFonts w:hint="eastAsia" w:ascii="仿宋_GB2312" w:hAnsi="仿宋_GB2312" w:eastAsia="仿宋_GB2312" w:cs="仿宋_GB2312"/>
          <w:color w:val="auto"/>
          <w:sz w:val="32"/>
          <w:szCs w:val="32"/>
          <w:shd w:val="clear" w:color="auto" w:fill="FFFFFF"/>
          <w:lang w:val="en-US" w:eastAsia="zh-CN"/>
        </w:rPr>
        <w:t>近年来，邢台市依托资源优势和产业基础，以发展农产品精深加工为引领，</w:t>
      </w:r>
      <w:r>
        <w:rPr>
          <w:rFonts w:hint="eastAsia" w:ascii="仿宋_GB2312" w:hAnsi="仿宋_GB2312" w:eastAsia="仿宋_GB2312" w:cs="仿宋_GB2312"/>
          <w:color w:val="auto"/>
          <w:sz w:val="32"/>
          <w:szCs w:val="32"/>
          <w:shd w:val="clear" w:color="auto" w:fill="FFFFFF"/>
        </w:rPr>
        <w:t>建成了隆尧县</w:t>
      </w:r>
      <w:r>
        <w:rPr>
          <w:rFonts w:hint="eastAsia" w:ascii="仿宋_GB2312" w:hAnsi="仿宋_GB2312" w:eastAsia="仿宋_GB2312" w:cs="仿宋_GB2312"/>
          <w:color w:val="auto"/>
          <w:sz w:val="32"/>
          <w:szCs w:val="32"/>
          <w:shd w:val="clear" w:color="auto" w:fill="FFFFFF"/>
          <w:lang w:eastAsia="zh-CN"/>
        </w:rPr>
        <w:t>方便食品、宁晋县玉米深加工、沙河市粮食加工、南和区宠物食品等一批产值超</w:t>
      </w:r>
      <w:r>
        <w:rPr>
          <w:rFonts w:hint="eastAsia" w:ascii="仿宋_GB2312" w:hAnsi="仿宋_GB2312" w:eastAsia="仿宋_GB2312" w:cs="仿宋_GB2312"/>
          <w:color w:val="auto"/>
          <w:sz w:val="32"/>
          <w:szCs w:val="32"/>
          <w:shd w:val="clear" w:color="auto" w:fill="FFFFFF"/>
          <w:lang w:val="en-US" w:eastAsia="zh-CN"/>
        </w:rPr>
        <w:t>50亿元</w:t>
      </w:r>
      <w:bookmarkStart w:id="0" w:name="_GoBack"/>
      <w:bookmarkEnd w:id="0"/>
      <w:r>
        <w:rPr>
          <w:rFonts w:hint="eastAsia" w:ascii="仿宋_GB2312" w:hAnsi="仿宋_GB2312" w:eastAsia="仿宋_GB2312" w:cs="仿宋_GB2312"/>
          <w:color w:val="auto"/>
          <w:sz w:val="32"/>
          <w:szCs w:val="32"/>
          <w:shd w:val="clear" w:color="auto" w:fill="FFFFFF"/>
          <w:lang w:val="en-US" w:eastAsia="zh-CN"/>
        </w:rPr>
        <w:t>乃至百亿元的知名</w:t>
      </w:r>
      <w:r>
        <w:rPr>
          <w:rFonts w:hint="eastAsia" w:ascii="仿宋_GB2312" w:hAnsi="仿宋_GB2312" w:eastAsia="仿宋_GB2312" w:cs="仿宋_GB2312"/>
          <w:color w:val="auto"/>
          <w:sz w:val="32"/>
          <w:szCs w:val="32"/>
          <w:shd w:val="clear" w:color="auto" w:fill="FFFFFF"/>
          <w:lang w:eastAsia="zh-CN"/>
        </w:rPr>
        <w:t>农产品加工集群</w:t>
      </w:r>
      <w:r>
        <w:rPr>
          <w:rFonts w:hint="eastAsia" w:ascii="仿宋_GB2312" w:hAnsi="仿宋_GB2312" w:eastAsia="仿宋_GB2312" w:cs="仿宋_GB2312"/>
          <w:color w:val="auto"/>
          <w:sz w:val="32"/>
          <w:szCs w:val="32"/>
          <w:shd w:val="clear" w:color="auto" w:fill="FFFFFF"/>
        </w:rPr>
        <w:t>。全市已</w:t>
      </w:r>
      <w:r>
        <w:rPr>
          <w:rFonts w:hint="eastAsia" w:ascii="仿宋_GB2312" w:hAnsi="仿宋_GB2312" w:eastAsia="仿宋_GB2312" w:cs="仿宋_GB2312"/>
          <w:color w:val="auto"/>
          <w:sz w:val="32"/>
          <w:szCs w:val="32"/>
          <w:shd w:val="clear" w:color="auto" w:fill="FFFFFF"/>
          <w:lang w:eastAsia="zh-CN"/>
        </w:rPr>
        <w:t>初步</w:t>
      </w:r>
      <w:r>
        <w:rPr>
          <w:rFonts w:hint="eastAsia" w:ascii="仿宋_GB2312" w:hAnsi="仿宋_GB2312" w:eastAsia="仿宋_GB2312" w:cs="仿宋_GB2312"/>
          <w:color w:val="auto"/>
          <w:sz w:val="32"/>
          <w:szCs w:val="32"/>
          <w:shd w:val="clear" w:color="auto" w:fill="FFFFFF"/>
        </w:rPr>
        <w:t>形成了粮食、</w:t>
      </w:r>
      <w:r>
        <w:rPr>
          <w:rFonts w:hint="eastAsia" w:ascii="仿宋_GB2312" w:hAnsi="仿宋_GB2312" w:eastAsia="仿宋_GB2312" w:cs="仿宋_GB2312"/>
          <w:color w:val="auto"/>
          <w:sz w:val="32"/>
          <w:szCs w:val="32"/>
          <w:shd w:val="clear" w:color="auto" w:fill="FFFFFF"/>
          <w:lang w:eastAsia="zh-CN"/>
        </w:rPr>
        <w:t>食品、乳业</w:t>
      </w:r>
      <w:r>
        <w:rPr>
          <w:rFonts w:hint="eastAsia" w:ascii="仿宋_GB2312" w:hAnsi="仿宋_GB2312" w:eastAsia="仿宋_GB2312" w:cs="仿宋_GB2312"/>
          <w:color w:val="auto"/>
          <w:sz w:val="32"/>
          <w:szCs w:val="32"/>
          <w:shd w:val="clear" w:color="auto" w:fill="FFFFFF"/>
        </w:rPr>
        <w:t>、</w:t>
      </w:r>
      <w:r>
        <w:rPr>
          <w:rFonts w:hint="eastAsia" w:ascii="仿宋_GB2312" w:hAnsi="仿宋_GB2312" w:eastAsia="仿宋_GB2312" w:cs="仿宋_GB2312"/>
          <w:color w:val="auto"/>
          <w:sz w:val="32"/>
          <w:szCs w:val="32"/>
          <w:shd w:val="clear" w:color="auto" w:fill="FFFFFF"/>
          <w:lang w:eastAsia="zh-CN"/>
        </w:rPr>
        <w:t>央厨、</w:t>
      </w:r>
      <w:r>
        <w:rPr>
          <w:rFonts w:hint="eastAsia" w:ascii="仿宋_GB2312" w:hAnsi="仿宋_GB2312" w:eastAsia="仿宋_GB2312" w:cs="仿宋_GB2312"/>
          <w:color w:val="auto"/>
          <w:sz w:val="32"/>
          <w:szCs w:val="32"/>
          <w:shd w:val="clear" w:color="auto" w:fill="FFFFFF"/>
        </w:rPr>
        <w:t>饲料、油料、蔬菜、果品、屠宰、棉纺等</w:t>
      </w:r>
      <w:r>
        <w:rPr>
          <w:rFonts w:hint="eastAsia" w:ascii="仿宋_GB2312" w:hAnsi="仿宋_GB2312" w:eastAsia="仿宋_GB2312" w:cs="仿宋_GB2312"/>
          <w:color w:val="auto"/>
          <w:sz w:val="32"/>
          <w:szCs w:val="32"/>
          <w:shd w:val="clear" w:color="auto" w:fill="FFFFFF"/>
          <w:lang w:eastAsia="zh-CN"/>
        </w:rPr>
        <w:t>十</w:t>
      </w:r>
      <w:r>
        <w:rPr>
          <w:rFonts w:hint="eastAsia" w:ascii="仿宋_GB2312" w:hAnsi="仿宋_GB2312" w:eastAsia="仿宋_GB2312" w:cs="仿宋_GB2312"/>
          <w:color w:val="auto"/>
          <w:sz w:val="32"/>
          <w:szCs w:val="32"/>
          <w:shd w:val="clear" w:color="auto" w:fill="FFFFFF"/>
        </w:rPr>
        <w:t>大</w:t>
      </w:r>
      <w:r>
        <w:rPr>
          <w:rFonts w:hint="eastAsia" w:ascii="仿宋_GB2312" w:hAnsi="仿宋_GB2312" w:eastAsia="仿宋_GB2312" w:cs="仿宋_GB2312"/>
          <w:color w:val="auto"/>
          <w:sz w:val="32"/>
          <w:szCs w:val="32"/>
          <w:shd w:val="clear" w:color="auto" w:fill="FFFFFF"/>
          <w:lang w:eastAsia="zh-CN"/>
        </w:rPr>
        <w:t>优势乡村产业</w:t>
      </w:r>
      <w:r>
        <w:rPr>
          <w:rFonts w:hint="eastAsia" w:ascii="仿宋_GB2312" w:hAnsi="仿宋_GB2312" w:eastAsia="仿宋_GB2312" w:cs="仿宋_GB2312"/>
          <w:color w:val="auto"/>
          <w:sz w:val="32"/>
          <w:szCs w:val="32"/>
          <w:shd w:val="clear" w:color="auto" w:fill="FFFFFF"/>
        </w:rPr>
        <w:t>。</w:t>
      </w:r>
    </w:p>
    <w:p>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rPr>
          <w:rFonts w:hint="eastAsia" w:ascii="仿宋_GB2312" w:hAnsi="仿宋_GB2312" w:eastAsia="仿宋_GB2312" w:cs="仿宋_GB2312"/>
          <w:b/>
          <w:bCs/>
          <w:color w:val="000000"/>
          <w:kern w:val="2"/>
          <w:sz w:val="32"/>
          <w:szCs w:val="32"/>
          <w:highlight w:val="none"/>
          <w:shd w:val="clear" w:color="auto" w:fill="FFFFFF"/>
          <w:lang w:val="en-US" w:eastAsia="zh-CN" w:bidi="ar-SA"/>
        </w:rPr>
      </w:pPr>
      <w:r>
        <w:rPr>
          <w:rFonts w:hint="eastAsia" w:ascii="楷体_GB2312" w:hAnsi="楷体_GB2312" w:eastAsia="楷体_GB2312" w:cs="楷体_GB2312"/>
          <w:sz w:val="32"/>
          <w:szCs w:val="32"/>
          <w:lang w:val="en-US" w:eastAsia="zh-CN"/>
        </w:rPr>
        <w:t>（四）培育了一批骨干龙头企业。</w:t>
      </w:r>
      <w:r>
        <w:rPr>
          <w:rFonts w:hint="eastAsia" w:ascii="仿宋_GB2312" w:hAnsi="仿宋_GB2312" w:eastAsia="仿宋_GB2312" w:cs="仿宋_GB2312"/>
          <w:color w:val="auto"/>
          <w:sz w:val="32"/>
          <w:szCs w:val="32"/>
          <w:shd w:val="clear" w:color="auto" w:fill="FFFFFF"/>
          <w:lang w:eastAsia="zh-CN"/>
        </w:rPr>
        <w:t>目前，</w:t>
      </w:r>
      <w:r>
        <w:rPr>
          <w:rFonts w:hint="eastAsia" w:ascii="仿宋_GB2312" w:hAnsi="仿宋_GB2312" w:eastAsia="仿宋_GB2312" w:cs="仿宋_GB2312"/>
          <w:color w:val="auto"/>
          <w:sz w:val="32"/>
          <w:szCs w:val="32"/>
          <w:shd w:val="clear" w:color="auto" w:fill="FFFFFF"/>
        </w:rPr>
        <w:t>全市</w:t>
      </w:r>
      <w:r>
        <w:rPr>
          <w:rFonts w:hint="eastAsia" w:ascii="仿宋_GB2312" w:hAnsi="仿宋_GB2312" w:eastAsia="仿宋_GB2312" w:cs="仿宋_GB2312"/>
          <w:color w:val="auto"/>
          <w:sz w:val="32"/>
          <w:szCs w:val="32"/>
          <w:shd w:val="clear" w:color="auto" w:fill="FFFFFF"/>
          <w:lang w:eastAsia="zh-CN"/>
        </w:rPr>
        <w:t>拥有</w:t>
      </w:r>
      <w:r>
        <w:rPr>
          <w:rFonts w:hint="eastAsia" w:ascii="仿宋_GB2312" w:hAnsi="仿宋_GB2312" w:eastAsia="仿宋_GB2312" w:cs="仿宋_GB2312"/>
          <w:color w:val="auto"/>
          <w:sz w:val="32"/>
          <w:szCs w:val="32"/>
          <w:shd w:val="clear" w:color="auto" w:fill="FFFFFF"/>
        </w:rPr>
        <w:t>市级</w:t>
      </w:r>
      <w:r>
        <w:rPr>
          <w:rFonts w:hint="eastAsia" w:ascii="仿宋_GB2312" w:hAnsi="仿宋_GB2312" w:eastAsia="仿宋_GB2312" w:cs="仿宋_GB2312"/>
          <w:color w:val="auto"/>
          <w:sz w:val="32"/>
          <w:szCs w:val="32"/>
          <w:shd w:val="clear" w:color="auto" w:fill="FFFFFF"/>
          <w:lang w:eastAsia="zh-CN"/>
        </w:rPr>
        <w:t>以上农业产业化</w:t>
      </w:r>
      <w:r>
        <w:rPr>
          <w:rFonts w:hint="eastAsia" w:ascii="仿宋_GB2312" w:hAnsi="仿宋_GB2312" w:eastAsia="仿宋_GB2312" w:cs="仿宋_GB2312"/>
          <w:color w:val="auto"/>
          <w:sz w:val="32"/>
          <w:szCs w:val="32"/>
          <w:shd w:val="clear" w:color="auto" w:fill="FFFFFF"/>
        </w:rPr>
        <w:t>重点龙头企业4</w:t>
      </w:r>
      <w:r>
        <w:rPr>
          <w:rFonts w:hint="eastAsia" w:ascii="仿宋_GB2312" w:hAnsi="仿宋_GB2312" w:eastAsia="仿宋_GB2312" w:cs="仿宋_GB2312"/>
          <w:color w:val="auto"/>
          <w:sz w:val="32"/>
          <w:szCs w:val="32"/>
          <w:shd w:val="clear" w:color="auto" w:fill="FFFFFF"/>
          <w:lang w:val="en-US" w:eastAsia="zh-CN"/>
        </w:rPr>
        <w:t>26</w:t>
      </w:r>
      <w:r>
        <w:rPr>
          <w:rFonts w:hint="eastAsia" w:ascii="仿宋_GB2312" w:hAnsi="仿宋_GB2312" w:eastAsia="仿宋_GB2312" w:cs="仿宋_GB2312"/>
          <w:color w:val="auto"/>
          <w:sz w:val="32"/>
          <w:szCs w:val="32"/>
          <w:shd w:val="clear" w:color="auto" w:fill="FFFFFF"/>
        </w:rPr>
        <w:t>家，</w:t>
      </w:r>
      <w:r>
        <w:rPr>
          <w:rFonts w:hint="eastAsia" w:ascii="仿宋_GB2312" w:hAnsi="仿宋_GB2312" w:eastAsia="仿宋_GB2312" w:cs="仿宋_GB2312"/>
          <w:color w:val="auto"/>
          <w:sz w:val="32"/>
          <w:szCs w:val="32"/>
          <w:shd w:val="clear" w:color="auto" w:fill="FFFFFF"/>
          <w:lang w:eastAsia="zh-CN"/>
        </w:rPr>
        <w:t>其中</w:t>
      </w:r>
      <w:r>
        <w:rPr>
          <w:rFonts w:hint="eastAsia" w:ascii="仿宋_GB2312" w:hAnsi="仿宋_GB2312" w:eastAsia="仿宋_GB2312" w:cs="仿宋_GB2312"/>
          <w:color w:val="auto"/>
          <w:sz w:val="32"/>
          <w:szCs w:val="32"/>
          <w:shd w:val="clear" w:color="auto" w:fill="FFFFFF"/>
        </w:rPr>
        <w:t>国家级</w:t>
      </w:r>
      <w:r>
        <w:rPr>
          <w:rFonts w:hint="eastAsia" w:ascii="仿宋_GB2312" w:hAnsi="仿宋_GB2312" w:eastAsia="仿宋_GB2312" w:cs="仿宋_GB2312"/>
          <w:color w:val="auto"/>
          <w:sz w:val="32"/>
          <w:szCs w:val="32"/>
          <w:shd w:val="clear" w:color="auto" w:fill="FFFFFF"/>
          <w:lang w:val="en-US" w:eastAsia="zh-CN"/>
        </w:rPr>
        <w:t>9</w:t>
      </w:r>
      <w:r>
        <w:rPr>
          <w:rFonts w:hint="eastAsia" w:ascii="仿宋_GB2312" w:hAnsi="仿宋_GB2312" w:eastAsia="仿宋_GB2312" w:cs="仿宋_GB2312"/>
          <w:color w:val="auto"/>
          <w:sz w:val="32"/>
          <w:szCs w:val="32"/>
          <w:shd w:val="clear" w:color="auto" w:fill="FFFFFF"/>
        </w:rPr>
        <w:t>家、省级</w:t>
      </w:r>
      <w:r>
        <w:rPr>
          <w:rFonts w:hint="eastAsia" w:ascii="仿宋_GB2312" w:hAnsi="仿宋_GB2312" w:eastAsia="仿宋_GB2312" w:cs="仿宋_GB2312"/>
          <w:color w:val="auto"/>
          <w:sz w:val="32"/>
          <w:szCs w:val="32"/>
          <w:shd w:val="clear" w:color="auto" w:fill="FFFFFF"/>
          <w:lang w:val="en-US" w:eastAsia="zh-CN"/>
        </w:rPr>
        <w:t>90</w:t>
      </w:r>
      <w:r>
        <w:rPr>
          <w:rFonts w:hint="eastAsia" w:ascii="仿宋_GB2312" w:hAnsi="仿宋_GB2312" w:eastAsia="仿宋_GB2312" w:cs="仿宋_GB2312"/>
          <w:color w:val="auto"/>
          <w:sz w:val="32"/>
          <w:szCs w:val="32"/>
          <w:shd w:val="clear" w:color="auto" w:fill="FFFFFF"/>
        </w:rPr>
        <w:t>家。</w:t>
      </w:r>
      <w:r>
        <w:rPr>
          <w:rFonts w:hint="eastAsia" w:ascii="仿宋_GB2312" w:hAnsi="仿宋_GB2312" w:eastAsia="仿宋_GB2312" w:cs="仿宋_GB2312"/>
          <w:color w:val="auto"/>
          <w:sz w:val="32"/>
          <w:szCs w:val="32"/>
          <w:shd w:val="clear" w:color="auto" w:fill="FFFFFF"/>
          <w:lang w:eastAsia="zh-CN"/>
        </w:rPr>
        <w:t>培育出一批行业领军企业，</w:t>
      </w:r>
      <w:r>
        <w:rPr>
          <w:rFonts w:hint="eastAsia" w:ascii="仿宋_GB2312" w:hAnsi="仿宋_GB2312" w:eastAsia="仿宋_GB2312" w:cs="仿宋_GB2312"/>
          <w:color w:val="auto"/>
          <w:sz w:val="32"/>
          <w:szCs w:val="32"/>
          <w:shd w:val="clear" w:color="auto" w:fill="FFFFFF"/>
        </w:rPr>
        <w:t>今麦郎方便面年产能位居全国</w:t>
      </w:r>
      <w:r>
        <w:rPr>
          <w:rFonts w:hint="eastAsia" w:ascii="仿宋_GB2312" w:hAnsi="仿宋_GB2312" w:eastAsia="仿宋_GB2312" w:cs="仿宋_GB2312"/>
          <w:color w:val="auto"/>
          <w:sz w:val="32"/>
          <w:szCs w:val="32"/>
          <w:shd w:val="clear" w:color="auto" w:fill="FFFFFF"/>
          <w:lang w:val="en-US" w:eastAsia="zh-CN"/>
        </w:rPr>
        <w:t>前三</w:t>
      </w: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rPr>
        <w:t>金沙河集团挂面产销量世界第一</w:t>
      </w: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rPr>
        <w:t>玉锋集团成为全球最大的维生素B12生产基地、光明九道菇成为全球单体规模最大工厂化食用菌生产基地</w:t>
      </w: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rPr>
        <w:t>精晶药业无菌精氨酸</w:t>
      </w:r>
      <w:r>
        <w:rPr>
          <w:rFonts w:hint="eastAsia" w:ascii="仿宋_GB2312" w:hAnsi="仿宋_GB2312" w:eastAsia="仿宋_GB2312" w:cs="仿宋_GB2312"/>
          <w:color w:val="auto"/>
          <w:sz w:val="32"/>
          <w:szCs w:val="32"/>
          <w:shd w:val="clear" w:color="auto" w:fill="FFFFFF"/>
          <w:lang w:val="en-US" w:eastAsia="zh-CN"/>
        </w:rPr>
        <w:t>等3种产品产量全国第一</w:t>
      </w:r>
      <w:r>
        <w:rPr>
          <w:rFonts w:hint="eastAsia" w:ascii="仿宋_GB2312" w:hAnsi="仿宋_GB2312" w:eastAsia="仿宋_GB2312" w:cs="仿宋_GB2312"/>
          <w:color w:val="auto"/>
          <w:sz w:val="32"/>
          <w:szCs w:val="32"/>
          <w:shd w:val="clear" w:color="auto" w:fill="FFFFFF"/>
          <w:lang w:eastAsia="zh-CN"/>
        </w:rPr>
        <w:t>；华兴</w:t>
      </w:r>
      <w:r>
        <w:rPr>
          <w:rFonts w:hint="eastAsia" w:ascii="仿宋_GB2312" w:hAnsi="仿宋_GB2312" w:eastAsia="仿宋_GB2312" w:cs="仿宋_GB2312"/>
          <w:color w:val="auto"/>
          <w:sz w:val="32"/>
          <w:szCs w:val="32"/>
          <w:shd w:val="clear" w:color="auto" w:fill="FFFFFF"/>
        </w:rPr>
        <w:t>宠物食品</w:t>
      </w:r>
      <w:r>
        <w:rPr>
          <w:rFonts w:hint="eastAsia" w:ascii="仿宋_GB2312" w:hAnsi="仿宋_GB2312" w:eastAsia="仿宋_GB2312" w:cs="仿宋_GB2312"/>
          <w:color w:val="auto"/>
          <w:sz w:val="32"/>
          <w:szCs w:val="32"/>
          <w:shd w:val="clear" w:color="auto" w:fill="FFFFFF"/>
          <w:lang w:eastAsia="zh-CN"/>
        </w:rPr>
        <w:t>、荣喜宠物饲料双双入围</w:t>
      </w:r>
      <w:r>
        <w:rPr>
          <w:rFonts w:hint="eastAsia" w:ascii="仿宋_GB2312" w:hAnsi="仿宋_GB2312" w:eastAsia="仿宋_GB2312" w:cs="仿宋_GB2312"/>
          <w:color w:val="auto"/>
          <w:sz w:val="32"/>
          <w:szCs w:val="32"/>
          <w:shd w:val="clear" w:color="auto" w:fill="FFFFFF"/>
        </w:rPr>
        <w:t>全国</w:t>
      </w:r>
      <w:r>
        <w:rPr>
          <w:rFonts w:hint="eastAsia" w:ascii="仿宋_GB2312" w:hAnsi="仿宋_GB2312" w:eastAsia="仿宋_GB2312" w:cs="仿宋_GB2312"/>
          <w:color w:val="auto"/>
          <w:sz w:val="32"/>
          <w:szCs w:val="32"/>
          <w:shd w:val="clear" w:color="auto" w:fill="FFFFFF"/>
          <w:lang w:eastAsia="zh-CN"/>
        </w:rPr>
        <w:t>宠物饲料十强企业</w:t>
      </w:r>
      <w:r>
        <w:rPr>
          <w:rFonts w:hint="eastAsia" w:ascii="仿宋_GB2312" w:hAnsi="仿宋_GB2312" w:eastAsia="仿宋_GB2312" w:cs="仿宋_GB2312"/>
          <w:color w:val="auto"/>
          <w:sz w:val="32"/>
          <w:szCs w:val="32"/>
          <w:shd w:val="clear" w:color="auto" w:fill="FFFFFF"/>
        </w:rPr>
        <w:t>。</w:t>
      </w:r>
    </w:p>
    <w:p>
      <w:pPr>
        <w:keepNext w:val="0"/>
        <w:keepLines w:val="0"/>
        <w:pageBreakBefore w:val="0"/>
        <w:widowControl w:val="0"/>
        <w:numPr>
          <w:ilvl w:val="0"/>
          <w:numId w:val="0"/>
        </w:numPr>
        <w:pBdr>
          <w:bottom w:val="single" w:color="FFFFFF" w:sz="4" w:space="17"/>
        </w:pBdr>
        <w:kinsoku/>
        <w:wordWrap/>
        <w:overflowPunct w:val="0"/>
        <w:topLinePunct/>
        <w:autoSpaceDE/>
        <w:autoSpaceDN/>
        <w:bidi w:val="0"/>
        <w:adjustRightInd w:val="0"/>
        <w:snapToGrid w:val="0"/>
        <w:spacing w:line="560" w:lineRule="exact"/>
        <w:ind w:firstLine="640" w:firstLineChars="200"/>
        <w:jc w:val="both"/>
        <w:textAlignment w:val="auto"/>
        <w:rPr>
          <w:rFonts w:hint="eastAsia" w:ascii="仿宋_GB2312" w:hAnsi="仿宋_GB2312" w:eastAsia="仿宋_GB2312" w:cs="仿宋_GB2312"/>
          <w:b w:val="0"/>
          <w:bCs w:val="0"/>
          <w:color w:val="000000"/>
          <w:kern w:val="2"/>
          <w:sz w:val="32"/>
          <w:szCs w:val="32"/>
          <w:highlight w:val="none"/>
          <w:shd w:val="clear" w:color="auto" w:fill="FFFFFF"/>
          <w:lang w:val="zh-CN" w:eastAsia="zh-CN" w:bidi="ar-SA"/>
        </w:rPr>
      </w:pPr>
      <w:r>
        <w:rPr>
          <w:rFonts w:hint="eastAsia" w:ascii="楷体_GB2312" w:hAnsi="楷体_GB2312" w:eastAsia="楷体_GB2312" w:cs="楷体_GB2312"/>
          <w:sz w:val="32"/>
          <w:szCs w:val="32"/>
          <w:lang w:val="en-US" w:eastAsia="zh-CN"/>
        </w:rPr>
        <w:t>（五）科技人才引领不断强化。</w:t>
      </w:r>
      <w:r>
        <w:rPr>
          <w:rFonts w:hint="eastAsia" w:ascii="仿宋_GB2312" w:hAnsi="仿宋_GB2312" w:eastAsia="仿宋_GB2312" w:cs="仿宋_GB2312"/>
          <w:b w:val="0"/>
          <w:bCs w:val="0"/>
          <w:color w:val="000000"/>
          <w:kern w:val="2"/>
          <w:sz w:val="32"/>
          <w:szCs w:val="32"/>
          <w:highlight w:val="none"/>
          <w:shd w:val="clear" w:color="auto" w:fill="FFFFFF"/>
          <w:lang w:val="zh-CN" w:eastAsia="zh-CN" w:bidi="ar-SA"/>
        </w:rPr>
        <w:t>市委、市政府印发《关于加快引进高层次人才若干规定》，激发众多加工企业纷纷建立博士后工作站、研发中心，吸引了一大批高端人才。今麦郎投资</w:t>
      </w:r>
      <w:r>
        <w:rPr>
          <w:rFonts w:hint="eastAsia" w:ascii="仿宋_GB2312" w:hAnsi="仿宋_GB2312" w:eastAsia="仿宋_GB2312" w:cs="仿宋_GB2312"/>
          <w:b w:val="0"/>
          <w:bCs w:val="0"/>
          <w:color w:val="000000"/>
          <w:kern w:val="2"/>
          <w:sz w:val="32"/>
          <w:szCs w:val="32"/>
          <w:highlight w:val="none"/>
          <w:shd w:val="clear" w:color="auto" w:fill="FFFFFF"/>
          <w:lang w:val="en-US" w:eastAsia="zh-CN" w:bidi="ar-SA"/>
        </w:rPr>
        <w:t>2000</w:t>
      </w:r>
      <w:r>
        <w:rPr>
          <w:rFonts w:hint="eastAsia" w:ascii="仿宋_GB2312" w:hAnsi="仿宋_GB2312" w:eastAsia="仿宋_GB2312" w:cs="仿宋_GB2312"/>
          <w:b w:val="0"/>
          <w:bCs w:val="0"/>
          <w:color w:val="000000"/>
          <w:kern w:val="2"/>
          <w:sz w:val="32"/>
          <w:szCs w:val="32"/>
          <w:highlight w:val="none"/>
          <w:shd w:val="clear" w:color="auto" w:fill="FFFFFF"/>
          <w:lang w:val="zh-CN" w:eastAsia="zh-CN" w:bidi="ar-SA"/>
        </w:rPr>
        <w:t>万元的食品研发检测研究所、玉锋投资</w:t>
      </w:r>
      <w:r>
        <w:rPr>
          <w:rFonts w:hint="eastAsia" w:ascii="仿宋_GB2312" w:hAnsi="仿宋_GB2312" w:eastAsia="仿宋_GB2312" w:cs="仿宋_GB2312"/>
          <w:b w:val="0"/>
          <w:bCs w:val="0"/>
          <w:color w:val="000000"/>
          <w:kern w:val="2"/>
          <w:sz w:val="32"/>
          <w:szCs w:val="32"/>
          <w:highlight w:val="none"/>
          <w:shd w:val="clear" w:color="auto" w:fill="FFFFFF"/>
          <w:lang w:val="en-US" w:eastAsia="zh-CN" w:bidi="ar-SA"/>
        </w:rPr>
        <w:t>2400</w:t>
      </w:r>
      <w:r>
        <w:rPr>
          <w:rFonts w:hint="eastAsia" w:ascii="仿宋_GB2312" w:hAnsi="仿宋_GB2312" w:eastAsia="仿宋_GB2312" w:cs="仿宋_GB2312"/>
          <w:b w:val="0"/>
          <w:bCs w:val="0"/>
          <w:color w:val="000000"/>
          <w:kern w:val="2"/>
          <w:sz w:val="32"/>
          <w:szCs w:val="32"/>
          <w:highlight w:val="none"/>
          <w:shd w:val="clear" w:color="auto" w:fill="FFFFFF"/>
          <w:lang w:val="zh-CN" w:eastAsia="zh-CN" w:bidi="ar-SA"/>
        </w:rPr>
        <w:t>万元的省级工程实验室和企业技术中心，以及绿岭公司的“河北省核桃工程技术研究中心”等研发机构相继建成，为企业提档升级和品牌提升打下了坚实基础。</w:t>
      </w:r>
    </w:p>
    <w:p>
      <w:pPr>
        <w:keepNext w:val="0"/>
        <w:keepLines w:val="0"/>
        <w:pageBreakBefore w:val="0"/>
        <w:widowControl w:val="0"/>
        <w:numPr>
          <w:ilvl w:val="0"/>
          <w:numId w:val="0"/>
        </w:numPr>
        <w:pBdr>
          <w:bottom w:val="single" w:color="FFFFFF" w:sz="4" w:space="17"/>
        </w:pBdr>
        <w:kinsoku/>
        <w:wordWrap/>
        <w:overflowPunct w:val="0"/>
        <w:topLinePunct/>
        <w:autoSpaceDE/>
        <w:autoSpaceDN/>
        <w:bidi w:val="0"/>
        <w:adjustRightInd w:val="0"/>
        <w:snapToGrid w:val="0"/>
        <w:spacing w:line="560" w:lineRule="exact"/>
        <w:ind w:firstLine="640" w:firstLineChars="200"/>
        <w:jc w:val="both"/>
        <w:textAlignment w:val="auto"/>
        <w:rPr>
          <w:rFonts w:hint="eastAsia" w:ascii="黑体" w:hAnsi="黑体" w:eastAsia="黑体" w:cs="黑体"/>
          <w:color w:val="auto"/>
          <w:sz w:val="32"/>
          <w:szCs w:val="32"/>
          <w:lang w:val="en-US" w:eastAsia="zh-CN"/>
        </w:rPr>
      </w:pPr>
      <w:r>
        <w:rPr>
          <w:rFonts w:hint="eastAsia" w:ascii="楷体_GB2312" w:hAnsi="楷体_GB2312" w:eastAsia="楷体_GB2312" w:cs="楷体_GB2312"/>
          <w:sz w:val="32"/>
          <w:szCs w:val="32"/>
          <w:lang w:val="en-US" w:eastAsia="zh-CN"/>
        </w:rPr>
        <w:t>（六）加快推进标准化生产。</w:t>
      </w:r>
      <w:r>
        <w:rPr>
          <w:rFonts w:hint="eastAsia" w:ascii="华文仿宋" w:hAnsi="华文仿宋" w:eastAsia="华文仿宋" w:cs="华文仿宋"/>
          <w:b/>
          <w:bCs/>
          <w:sz w:val="32"/>
          <w:szCs w:val="32"/>
          <w:lang w:val="en-US" w:eastAsia="zh-CN"/>
        </w:rPr>
        <w:t>一</w:t>
      </w:r>
      <w:r>
        <w:rPr>
          <w:rFonts w:hint="eastAsia" w:ascii="仿宋_GB2312" w:hAnsi="仿宋_GB2312" w:eastAsia="仿宋_GB2312" w:cs="仿宋_GB2312"/>
          <w:b/>
          <w:bCs/>
          <w:sz w:val="32"/>
          <w:szCs w:val="32"/>
          <w:lang w:val="en-US" w:eastAsia="zh-CN"/>
        </w:rPr>
        <w:t>是</w:t>
      </w:r>
      <w:r>
        <w:rPr>
          <w:rFonts w:hint="eastAsia" w:ascii="仿宋_GB2312" w:hAnsi="仿宋_GB2312" w:eastAsia="仿宋_GB2312" w:cs="仿宋_GB2312"/>
          <w:sz w:val="32"/>
          <w:szCs w:val="32"/>
          <w:lang w:val="en-US" w:eastAsia="zh-CN"/>
        </w:rPr>
        <w:t>统筹制定全年工作方案。按粮油、果蔬、畜禽、水产分行业印发《2023年邢台市农业标准化生产推进方案》，对全年工作进行了安排，并按照方案进行了任务分解。大力推进标准化生产，引导农产品生产者按标生产，严禁违规用药，严控药残超标，保障农产品质量安全水平。</w:t>
      </w: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sz w:val="32"/>
          <w:szCs w:val="32"/>
          <w:lang w:val="en-US" w:eastAsia="zh-CN"/>
        </w:rPr>
        <w:t>做好省市级地方标准制修订工作。以优良新品种、绿色高质高效技术推广应用和农产品质量安全等方面为重点，拓宽标准制定范围，组织制修订省市级农业地方标准，鼓励规模生产主体制定严于国家标准的企业标准，2023年组织申报省级地方标准8项。</w:t>
      </w:r>
    </w:p>
    <w:p>
      <w:pPr>
        <w:keepNext w:val="0"/>
        <w:keepLines w:val="0"/>
        <w:pageBreakBefore w:val="0"/>
        <w:widowControl w:val="0"/>
        <w:numPr>
          <w:ilvl w:val="0"/>
          <w:numId w:val="0"/>
        </w:numPr>
        <w:pBdr>
          <w:bottom w:val="single" w:color="FFFFFF" w:sz="4" w:space="17"/>
        </w:pBdr>
        <w:kinsoku/>
        <w:wordWrap/>
        <w:overflowPunct w:val="0"/>
        <w:topLinePunct/>
        <w:autoSpaceDE/>
        <w:autoSpaceDN/>
        <w:bidi w:val="0"/>
        <w:adjustRightInd w:val="0"/>
        <w:snapToGrid w:val="0"/>
        <w:spacing w:line="560" w:lineRule="exact"/>
        <w:ind w:firstLine="640" w:firstLineChars="200"/>
        <w:jc w:val="both"/>
        <w:textAlignment w:val="auto"/>
        <w:rPr>
          <w:rFonts w:hint="default"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三、存在的问题</w:t>
      </w:r>
    </w:p>
    <w:p>
      <w:pPr>
        <w:keepNext w:val="0"/>
        <w:keepLines w:val="0"/>
        <w:pageBreakBefore w:val="0"/>
        <w:widowControl w:val="0"/>
        <w:numPr>
          <w:ilvl w:val="0"/>
          <w:numId w:val="0"/>
        </w:numPr>
        <w:pBdr>
          <w:bottom w:val="single" w:color="FFFFFF" w:sz="4" w:space="17"/>
        </w:pBdr>
        <w:kinsoku/>
        <w:wordWrap/>
        <w:overflowPunct w:val="0"/>
        <w:topLinePunct/>
        <w:autoSpaceDE/>
        <w:autoSpaceDN/>
        <w:bidi w:val="0"/>
        <w:adjustRightInd w:val="0"/>
        <w:snapToGrid w:val="0"/>
        <w:spacing w:line="560" w:lineRule="exact"/>
        <w:ind w:firstLine="640" w:firstLineChars="200"/>
        <w:jc w:val="both"/>
        <w:textAlignment w:val="auto"/>
        <w:rPr>
          <w:rFonts w:hint="eastAsia" w:ascii="仿宋_GB2312" w:eastAsia="仿宋_GB2312"/>
          <w:sz w:val="32"/>
          <w:szCs w:val="32"/>
          <w:shd w:val="clear" w:color="auto" w:fill="FFFFFF"/>
          <w:lang w:val="en-US" w:eastAsia="zh-CN"/>
        </w:rPr>
      </w:pPr>
      <w:r>
        <w:rPr>
          <w:rFonts w:hint="eastAsia" w:ascii="仿宋_GB2312" w:eastAsia="仿宋_GB2312"/>
          <w:sz w:val="32"/>
          <w:szCs w:val="32"/>
          <w:shd w:val="clear" w:color="auto" w:fill="FFFFFF"/>
        </w:rPr>
        <w:t>近年来，我市农业品牌建设工作取得一定成绩，但仍存在以下突出问题。</w:t>
      </w:r>
      <w:r>
        <w:rPr>
          <w:rFonts w:hint="eastAsia" w:ascii="仿宋_GB2312" w:eastAsia="仿宋_GB2312"/>
          <w:b/>
          <w:bCs/>
          <w:sz w:val="32"/>
          <w:szCs w:val="32"/>
          <w:shd w:val="clear" w:color="auto" w:fill="FFFFFF"/>
        </w:rPr>
        <w:t>一是</w:t>
      </w:r>
      <w:r>
        <w:rPr>
          <w:rFonts w:hint="eastAsia" w:ascii="仿宋_GB2312" w:eastAsia="仿宋_GB2312"/>
          <w:b w:val="0"/>
          <w:bCs w:val="0"/>
          <w:sz w:val="32"/>
          <w:szCs w:val="32"/>
          <w:shd w:val="clear" w:color="auto" w:fill="FFFFFF"/>
          <w:lang w:eastAsia="zh-CN"/>
        </w:rPr>
        <w:t>产品技术含量不高，生产规模小，市场竞争力相对较弱</w:t>
      </w:r>
      <w:r>
        <w:rPr>
          <w:rFonts w:hint="eastAsia" w:ascii="仿宋_GB2312" w:eastAsia="仿宋_GB2312"/>
          <w:sz w:val="32"/>
          <w:szCs w:val="32"/>
          <w:shd w:val="clear" w:color="auto" w:fill="FFFFFF"/>
        </w:rPr>
        <w:t>。</w:t>
      </w:r>
      <w:r>
        <w:rPr>
          <w:rFonts w:hint="eastAsia" w:ascii="仿宋_GB2312" w:eastAsia="仿宋_GB2312"/>
          <w:b/>
          <w:bCs/>
          <w:sz w:val="32"/>
          <w:szCs w:val="32"/>
          <w:shd w:val="clear" w:color="auto" w:fill="FFFFFF"/>
          <w:lang w:eastAsia="zh-CN"/>
        </w:rPr>
        <w:t>二是</w:t>
      </w:r>
      <w:r>
        <w:rPr>
          <w:rFonts w:hint="eastAsia" w:ascii="仿宋_GB2312" w:eastAsia="仿宋_GB2312"/>
          <w:sz w:val="32"/>
          <w:szCs w:val="32"/>
          <w:shd w:val="clear" w:color="auto" w:fill="FFFFFF"/>
          <w:lang w:eastAsia="zh-CN"/>
        </w:rPr>
        <w:t>科技创新能力不强，龙头企业带动能力较弱</w:t>
      </w:r>
      <w:r>
        <w:rPr>
          <w:rFonts w:hint="eastAsia" w:ascii="仿宋_GB2312" w:eastAsia="仿宋_GB2312"/>
          <w:sz w:val="32"/>
          <w:szCs w:val="32"/>
          <w:shd w:val="clear" w:color="auto" w:fill="FFFFFF"/>
        </w:rPr>
        <w:t>。</w:t>
      </w:r>
    </w:p>
    <w:p>
      <w:pPr>
        <w:keepNext w:val="0"/>
        <w:keepLines w:val="0"/>
        <w:pageBreakBefore w:val="0"/>
        <w:widowControl w:val="0"/>
        <w:numPr>
          <w:ilvl w:val="0"/>
          <w:numId w:val="0"/>
        </w:numPr>
        <w:pBdr>
          <w:bottom w:val="single" w:color="FFFFFF" w:sz="4" w:space="17"/>
        </w:pBdr>
        <w:kinsoku/>
        <w:wordWrap/>
        <w:overflowPunct w:val="0"/>
        <w:topLinePunct/>
        <w:autoSpaceDE/>
        <w:autoSpaceDN/>
        <w:bidi w:val="0"/>
        <w:adjustRightInd w:val="0"/>
        <w:snapToGrid w:val="0"/>
        <w:spacing w:line="560" w:lineRule="exact"/>
        <w:ind w:firstLine="640" w:firstLineChars="200"/>
        <w:jc w:val="both"/>
        <w:textAlignment w:val="auto"/>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eastAsia="zh-CN"/>
        </w:rPr>
        <w:t>四、下一步工作</w:t>
      </w:r>
    </w:p>
    <w:p>
      <w:pPr>
        <w:keepNext w:val="0"/>
        <w:keepLines w:val="0"/>
        <w:pageBreakBefore w:val="0"/>
        <w:widowControl w:val="0"/>
        <w:numPr>
          <w:ilvl w:val="0"/>
          <w:numId w:val="0"/>
        </w:numPr>
        <w:pBdr>
          <w:bottom w:val="single" w:color="FFFFFF" w:sz="4" w:space="17"/>
        </w:pBdr>
        <w:kinsoku/>
        <w:wordWrap/>
        <w:overflowPunct w:val="0"/>
        <w:topLinePunct/>
        <w:autoSpaceDE/>
        <w:autoSpaceDN/>
        <w:bidi w:val="0"/>
        <w:adjustRightInd w:val="0"/>
        <w:snapToGrid w:val="0"/>
        <w:spacing w:line="560" w:lineRule="exact"/>
        <w:ind w:firstLine="640" w:firstLineChars="200"/>
        <w:jc w:val="both"/>
        <w:textAlignment w:val="auto"/>
        <w:rPr>
          <w:rFonts w:hint="eastAsia" w:ascii="仿宋_GB2312" w:eastAsia="仿宋_GB2312"/>
          <w:sz w:val="32"/>
          <w:szCs w:val="32"/>
          <w:lang w:val="en-US" w:eastAsia="zh-CN"/>
        </w:rPr>
      </w:pPr>
      <w:r>
        <w:rPr>
          <w:rFonts w:hint="eastAsia" w:ascii="楷体_GB2312" w:hAnsi="楷体_GB2312" w:eastAsia="楷体_GB2312" w:cs="楷体_GB2312"/>
          <w:sz w:val="32"/>
          <w:szCs w:val="32"/>
          <w:lang w:val="en-US" w:eastAsia="zh-CN"/>
        </w:rPr>
        <w:t>（一）抓好农业品牌的完善提升和创建。</w:t>
      </w:r>
      <w:r>
        <w:rPr>
          <w:rFonts w:hint="eastAsia" w:ascii="仿宋_GB2312" w:eastAsia="仿宋_GB2312"/>
          <w:sz w:val="32"/>
          <w:szCs w:val="32"/>
          <w:lang w:eastAsia="zh-CN"/>
        </w:rPr>
        <w:t>已经打造和创建了市级和省级区域公用品牌的县市区，要抓好农业品牌的完善提升；重点做好已创建</w:t>
      </w:r>
      <w:r>
        <w:rPr>
          <w:rFonts w:hint="eastAsia" w:ascii="仿宋_GB2312" w:eastAsia="仿宋_GB2312"/>
          <w:sz w:val="32"/>
          <w:szCs w:val="32"/>
          <w:lang w:val="en-US" w:eastAsia="zh-CN"/>
        </w:rPr>
        <w:t>品牌的知识产权保护。</w:t>
      </w:r>
      <w:r>
        <w:rPr>
          <w:rFonts w:hint="eastAsia" w:ascii="仿宋_GB2312" w:eastAsia="仿宋_GB2312"/>
          <w:sz w:val="32"/>
          <w:szCs w:val="32"/>
          <w:lang w:eastAsia="zh-CN"/>
        </w:rPr>
        <w:t>还没有创建和培育出具有明显优势产业品牌的县市区，要紧密结合产业基础，筛选培育创建优势区域公用品牌。筛选培育创建优势区域公用品牌，要围绕“独有、特有、富有”的本地产业进行筛选培育。清河山楂、沙河板栗、仁泽强筋麦等品牌要积极申报省级农业区域公用品牌，力争今年年度省级农业区域公用品牌达到</w:t>
      </w:r>
      <w:r>
        <w:rPr>
          <w:rFonts w:hint="eastAsia" w:ascii="仿宋_GB2312" w:eastAsia="仿宋_GB2312"/>
          <w:sz w:val="32"/>
          <w:szCs w:val="32"/>
          <w:lang w:val="en-US" w:eastAsia="zh-CN"/>
        </w:rPr>
        <w:t>1</w:t>
      </w:r>
      <w:r>
        <w:rPr>
          <w:rFonts w:hint="default" w:ascii="仿宋_GB2312" w:eastAsia="仿宋_GB2312"/>
          <w:sz w:val="32"/>
          <w:szCs w:val="32"/>
          <w:lang w:val="en" w:eastAsia="zh-CN"/>
        </w:rPr>
        <w:t>5</w:t>
      </w:r>
      <w:r>
        <w:rPr>
          <w:rFonts w:hint="eastAsia" w:ascii="仿宋_GB2312" w:eastAsia="仿宋_GB2312"/>
          <w:sz w:val="32"/>
          <w:szCs w:val="32"/>
          <w:lang w:val="en-US" w:eastAsia="zh-CN"/>
        </w:rPr>
        <w:t>个以上，领军企业品牌达到11个。</w:t>
      </w:r>
    </w:p>
    <w:p>
      <w:pPr>
        <w:keepNext w:val="0"/>
        <w:keepLines w:val="0"/>
        <w:pageBreakBefore w:val="0"/>
        <w:widowControl w:val="0"/>
        <w:numPr>
          <w:ilvl w:val="0"/>
          <w:numId w:val="0"/>
        </w:numPr>
        <w:pBdr>
          <w:bottom w:val="single" w:color="FFFFFF" w:sz="4" w:space="17"/>
        </w:pBdr>
        <w:kinsoku/>
        <w:wordWrap/>
        <w:overflowPunct w:val="0"/>
        <w:topLinePunct/>
        <w:autoSpaceDE/>
        <w:autoSpaceDN/>
        <w:bidi w:val="0"/>
        <w:adjustRightInd w:val="0"/>
        <w:snapToGrid w:val="0"/>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（二）加强品牌设计创新。</w:t>
      </w:r>
      <w:r>
        <w:rPr>
          <w:rFonts w:hint="eastAsia" w:ascii="仿宋_GB2312" w:eastAsia="仿宋_GB2312"/>
          <w:sz w:val="32"/>
          <w:szCs w:val="32"/>
          <w:lang w:eastAsia="zh-CN"/>
        </w:rPr>
        <w:t>通过各种渠道，鼓励各县（市、区）对重点打造、提升的区域公用品牌，聘请第三方专业团队进行品牌包装设计、创意打造，提升特色品牌、特色产品形象、辨识度和溢价能力。组织我市农业企业积极参加“河北省品牌农产品创新创意设计大赛”“我最喜爱的农业品牌评选</w:t>
      </w:r>
      <w:r>
        <w:rPr>
          <w:rFonts w:hint="eastAsia" w:ascii="仿宋_GB2312" w:hAnsi="仿宋_GB2312" w:eastAsia="仿宋_GB2312" w:cs="仿宋_GB2312"/>
          <w:sz w:val="32"/>
          <w:szCs w:val="32"/>
          <w:lang w:eastAsia="zh-CN"/>
        </w:rPr>
        <w:t>活动”</w:t>
      </w:r>
      <w:r>
        <w:rPr>
          <w:rFonts w:hint="eastAsia" w:ascii="仿宋_GB2312" w:hAnsi="仿宋_GB2312" w:eastAsia="仿宋_GB2312" w:cs="仿宋_GB2312"/>
          <w:sz w:val="32"/>
          <w:szCs w:val="32"/>
        </w:rPr>
        <w:t>，提升我市品牌农产品形象，扩大农产品品牌社会影响力。鼓励支持龙头企业、</w:t>
      </w:r>
      <w:r>
        <w:rPr>
          <w:rFonts w:hint="eastAsia" w:ascii="仿宋_GB2312" w:eastAsia="仿宋_GB2312"/>
          <w:sz w:val="32"/>
          <w:szCs w:val="32"/>
          <w:lang w:eastAsia="zh-CN"/>
        </w:rPr>
        <w:t>合作社等市场主体进行农产品品牌创新和创意设计。深入挖掘农业的生产、生活、生态和文化等功能与内涵，整理收集讲好农业品牌故事，培育具有文化底蕴的邢台农业品牌。</w:t>
      </w:r>
    </w:p>
    <w:p>
      <w:pPr>
        <w:keepNext w:val="0"/>
        <w:keepLines w:val="0"/>
        <w:pageBreakBefore w:val="0"/>
        <w:widowControl w:val="0"/>
        <w:numPr>
          <w:ilvl w:val="0"/>
          <w:numId w:val="0"/>
        </w:numPr>
        <w:pBdr>
          <w:bottom w:val="single" w:color="FFFFFF" w:sz="4" w:space="17"/>
        </w:pBdr>
        <w:kinsoku/>
        <w:wordWrap/>
        <w:overflowPunct w:val="0"/>
        <w:topLinePunct/>
        <w:autoSpaceDE/>
        <w:autoSpaceDN/>
        <w:bidi w:val="0"/>
        <w:adjustRightInd w:val="0"/>
        <w:snapToGrid w:val="0"/>
        <w:spacing w:line="560" w:lineRule="exact"/>
        <w:ind w:leftChars="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楷体_GB2312" w:hAnsi="楷体_GB2312" w:eastAsia="楷体_GB2312" w:cs="楷体_GB2312"/>
          <w:sz w:val="32"/>
          <w:szCs w:val="32"/>
          <w:lang w:val="en-US" w:eastAsia="zh-CN"/>
        </w:rPr>
        <w:t>（三）科学制定农业区域公用品牌发展战略。</w:t>
      </w:r>
      <w:r>
        <w:rPr>
          <w:rFonts w:hint="eastAsia" w:ascii="仿宋_GB2312" w:hAnsi="仿宋_GB2312" w:eastAsia="仿宋_GB2312" w:cs="仿宋_GB2312"/>
          <w:kern w:val="2"/>
          <w:sz w:val="32"/>
          <w:szCs w:val="32"/>
          <w:lang w:val="en-US" w:eastAsia="zh-CN" w:bidi="ar-SA"/>
        </w:rPr>
        <w:t>按照因地制宜、发挥优势的原则，统筹制定农业区域品牌建设规划，合理确定农业区域公用品牌的规模，科学培育具有差异化、特色化的区域公用农产品品牌，避免同质化竞争。加强优势农产品资源的开发利用，对各地区的优势资源进行科学规划。同时，加强品牌规范化管理，督促区域公用品牌主体单位和管理协会，对已经建立起的农产品区域公用品牌开展规范使用管理，建立区域公用品牌具体生产标准，规范产品品质和准入、退出条件，促进品牌持续健康发展，提高品牌的美誉度，引导品牌消费价值导向。</w:t>
      </w:r>
    </w:p>
    <w:p>
      <w:pPr>
        <w:keepNext w:val="0"/>
        <w:keepLines w:val="0"/>
        <w:pageBreakBefore w:val="0"/>
        <w:widowControl w:val="0"/>
        <w:numPr>
          <w:ilvl w:val="0"/>
          <w:numId w:val="0"/>
        </w:numPr>
        <w:pBdr>
          <w:bottom w:val="single" w:color="FFFFFF" w:sz="4" w:space="17"/>
        </w:pBdr>
        <w:kinsoku/>
        <w:wordWrap/>
        <w:overflowPunct w:val="0"/>
        <w:topLinePunct/>
        <w:autoSpaceDE/>
        <w:autoSpaceDN/>
        <w:bidi w:val="0"/>
        <w:adjustRightInd w:val="0"/>
        <w:snapToGrid w:val="0"/>
        <w:spacing w:line="560" w:lineRule="exact"/>
        <w:ind w:firstLine="640" w:firstLineChars="200"/>
        <w:jc w:val="both"/>
        <w:textAlignment w:val="auto"/>
        <w:rPr>
          <w:rFonts w:hint="default" w:ascii="仿宋_GB2312" w:eastAsia="仿宋_GB2312" w:cs="Times New Roman"/>
          <w:sz w:val="32"/>
          <w:szCs w:val="32"/>
          <w:highlight w:val="none"/>
          <w:lang w:val="en-US" w:eastAsia="zh-CN"/>
        </w:rPr>
      </w:pPr>
      <w:r>
        <w:rPr>
          <w:rFonts w:hint="eastAsia" w:ascii="楷体_GB2312" w:hAnsi="楷体_GB2312" w:eastAsia="楷体_GB2312" w:cs="楷体_GB2312"/>
          <w:sz w:val="32"/>
          <w:szCs w:val="32"/>
          <w:lang w:val="en-US" w:eastAsia="zh-CN"/>
        </w:rPr>
        <w:t>（四）加大政策扶持力度。</w:t>
      </w:r>
      <w:r>
        <w:rPr>
          <w:rFonts w:hint="default" w:ascii="仿宋_GB2312" w:eastAsia="仿宋_GB2312" w:cs="Times New Roman"/>
          <w:sz w:val="32"/>
          <w:szCs w:val="32"/>
          <w:highlight w:val="none"/>
          <w:lang w:val="en-US" w:eastAsia="zh-CN"/>
        </w:rPr>
        <w:t>认真落实好中央和省对农业产业化龙头企业的扶持资金和优惠政策。切实增加对农业产业化龙头企业建设的</w:t>
      </w:r>
      <w:r>
        <w:rPr>
          <w:rFonts w:hint="eastAsia" w:ascii="仿宋_GB2312" w:eastAsia="仿宋_GB2312" w:cs="Times New Roman"/>
          <w:sz w:val="32"/>
          <w:szCs w:val="32"/>
          <w:highlight w:val="none"/>
          <w:lang w:val="en-US" w:eastAsia="zh-CN"/>
        </w:rPr>
        <w:t>帮扶力度</w:t>
      </w:r>
      <w:r>
        <w:rPr>
          <w:rFonts w:hint="default" w:ascii="仿宋_GB2312" w:eastAsia="仿宋_GB2312" w:cs="Times New Roman"/>
          <w:sz w:val="32"/>
          <w:szCs w:val="32"/>
          <w:highlight w:val="none"/>
          <w:lang w:val="en-US" w:eastAsia="zh-CN"/>
        </w:rPr>
        <w:t>。</w:t>
      </w:r>
      <w:r>
        <w:rPr>
          <w:rFonts w:hint="eastAsia" w:ascii="仿宋_GB2312" w:eastAsia="仿宋_GB2312" w:cs="Times New Roman"/>
          <w:sz w:val="32"/>
          <w:szCs w:val="32"/>
          <w:highlight w:val="none"/>
          <w:lang w:val="en-US" w:eastAsia="zh-CN"/>
        </w:rPr>
        <w:t>对</w:t>
      </w:r>
      <w:r>
        <w:rPr>
          <w:rFonts w:hint="default" w:ascii="仿宋_GB2312" w:eastAsia="仿宋_GB2312" w:cs="Times New Roman"/>
          <w:sz w:val="32"/>
          <w:szCs w:val="32"/>
          <w:highlight w:val="none"/>
          <w:lang w:val="en-US" w:eastAsia="zh-CN"/>
        </w:rPr>
        <w:t>龙头企业进行</w:t>
      </w:r>
      <w:r>
        <w:rPr>
          <w:rFonts w:hint="eastAsia" w:ascii="仿宋_GB2312" w:eastAsia="仿宋_GB2312" w:cs="Times New Roman"/>
          <w:sz w:val="32"/>
          <w:szCs w:val="32"/>
          <w:highlight w:val="none"/>
          <w:lang w:val="en-US" w:eastAsia="zh-CN"/>
        </w:rPr>
        <w:t>管理培训、技术指导等方面的支持，</w:t>
      </w:r>
      <w:r>
        <w:rPr>
          <w:rFonts w:hint="default" w:ascii="仿宋_GB2312" w:eastAsia="仿宋_GB2312" w:cs="Times New Roman"/>
          <w:sz w:val="32"/>
          <w:szCs w:val="32"/>
          <w:highlight w:val="none"/>
          <w:lang w:val="en-US" w:eastAsia="zh-CN"/>
        </w:rPr>
        <w:t>着重</w:t>
      </w:r>
      <w:r>
        <w:rPr>
          <w:rFonts w:hint="eastAsia" w:ascii="仿宋_GB2312" w:eastAsia="仿宋_GB2312" w:cs="Times New Roman"/>
          <w:sz w:val="32"/>
          <w:szCs w:val="32"/>
          <w:highlight w:val="none"/>
          <w:lang w:val="en-US" w:eastAsia="zh-CN"/>
        </w:rPr>
        <w:t>协调</w:t>
      </w:r>
      <w:r>
        <w:rPr>
          <w:rFonts w:hint="default" w:ascii="仿宋_GB2312" w:eastAsia="仿宋_GB2312" w:cs="Times New Roman"/>
          <w:sz w:val="32"/>
          <w:szCs w:val="32"/>
          <w:highlight w:val="none"/>
          <w:lang w:val="en-US" w:eastAsia="zh-CN"/>
        </w:rPr>
        <w:t>解决当前制约龙头企业发展的突出问题，让企业得到真正</w:t>
      </w:r>
      <w:r>
        <w:rPr>
          <w:rFonts w:hint="eastAsia" w:ascii="仿宋_GB2312" w:eastAsia="仿宋_GB2312" w:cs="Times New Roman"/>
          <w:sz w:val="32"/>
          <w:szCs w:val="32"/>
          <w:highlight w:val="none"/>
          <w:lang w:val="en-US" w:eastAsia="zh-CN"/>
        </w:rPr>
        <w:t>的</w:t>
      </w:r>
      <w:r>
        <w:rPr>
          <w:rFonts w:hint="default" w:ascii="仿宋_GB2312" w:eastAsia="仿宋_GB2312" w:cs="Times New Roman"/>
          <w:sz w:val="32"/>
          <w:szCs w:val="32"/>
          <w:highlight w:val="none"/>
          <w:lang w:val="en-US" w:eastAsia="zh-CN"/>
        </w:rPr>
        <w:t>实惠。</w:t>
      </w:r>
      <w:r>
        <w:rPr>
          <w:rFonts w:hint="eastAsia" w:ascii="Times New Roman" w:hAnsi="Times New Roman" w:eastAsia="仿宋_GB2312" w:cs="Times New Roman"/>
          <w:b w:val="0"/>
          <w:bCs/>
          <w:color w:val="000000"/>
          <w:kern w:val="0"/>
          <w:sz w:val="32"/>
          <w:szCs w:val="32"/>
          <w:lang w:val="en-US" w:eastAsia="zh-CN" w:bidi="ar"/>
        </w:rPr>
        <w:t>组织企业参加产业对接大会、品牌农产品展销会等，提高产品知名度。</w:t>
      </w:r>
    </w:p>
    <w:p>
      <w:pPr>
        <w:keepNext w:val="0"/>
        <w:keepLines w:val="0"/>
        <w:pageBreakBefore w:val="0"/>
        <w:widowControl w:val="0"/>
        <w:numPr>
          <w:ilvl w:val="0"/>
          <w:numId w:val="0"/>
        </w:numPr>
        <w:pBdr>
          <w:bottom w:val="single" w:color="FFFFFF" w:sz="4" w:space="17"/>
        </w:pBdr>
        <w:kinsoku/>
        <w:wordWrap/>
        <w:overflowPunct w:val="0"/>
        <w:topLinePunct w:val="0"/>
        <w:autoSpaceDE/>
        <w:autoSpaceDN/>
        <w:bidi w:val="0"/>
        <w:adjustRightInd w:val="0"/>
        <w:snapToGrid w:val="0"/>
        <w:spacing w:beforeAutospacing="0" w:afterAutospacing="0" w:line="560" w:lineRule="exact"/>
        <w:ind w:firstLine="640" w:firstLineChars="200"/>
        <w:textAlignment w:val="auto"/>
        <w:rPr>
          <w:rFonts w:hint="default" w:ascii="仿宋_GB2312" w:eastAsia="仿宋_GB2312" w:cs="Times New Roman"/>
          <w:sz w:val="32"/>
          <w:szCs w:val="32"/>
          <w:highlight w:val="none"/>
          <w:lang w:val="en-US" w:eastAsia="zh-CN"/>
        </w:rPr>
      </w:pPr>
      <w:r>
        <w:rPr>
          <w:rFonts w:hint="eastAsia" w:ascii="楷体_GB2312" w:hAnsi="楷体_GB2312" w:eastAsia="楷体_GB2312" w:cs="楷体_GB2312"/>
          <w:sz w:val="32"/>
          <w:szCs w:val="32"/>
          <w:lang w:val="en-US" w:eastAsia="zh-CN"/>
        </w:rPr>
        <w:t>（五）强化龙头企业带动作用。</w:t>
      </w:r>
      <w:r>
        <w:rPr>
          <w:rFonts w:hint="default" w:ascii="仿宋_GB2312" w:eastAsia="仿宋_GB2312" w:cs="Times New Roman"/>
          <w:sz w:val="32"/>
          <w:szCs w:val="32"/>
          <w:highlight w:val="none"/>
          <w:lang w:val="en-US" w:eastAsia="zh-CN"/>
        </w:rPr>
        <w:t>围绕不断增强龙头企业</w:t>
      </w:r>
      <w:r>
        <w:rPr>
          <w:rFonts w:hint="eastAsia" w:ascii="仿宋_GB2312" w:eastAsia="仿宋_GB2312" w:cs="Times New Roman"/>
          <w:sz w:val="32"/>
          <w:szCs w:val="32"/>
          <w:highlight w:val="none"/>
          <w:lang w:val="en-US" w:eastAsia="zh-CN"/>
        </w:rPr>
        <w:t>辐射</w:t>
      </w:r>
      <w:r>
        <w:rPr>
          <w:rFonts w:hint="default" w:ascii="仿宋_GB2312" w:eastAsia="仿宋_GB2312" w:cs="Times New Roman"/>
          <w:sz w:val="32"/>
          <w:szCs w:val="32"/>
          <w:highlight w:val="none"/>
          <w:lang w:val="en-US" w:eastAsia="zh-CN"/>
        </w:rPr>
        <w:t>带动能力，一手抓量的扩张，一手抓质的提高，不断提升龙头企业档次水平，把农业产业化龙头企业做大做强。通过扩大开放引进、抢抓项目等多种形式发展一批大型</w:t>
      </w:r>
      <w:r>
        <w:rPr>
          <w:rFonts w:hint="eastAsia" w:ascii="仿宋_GB2312" w:eastAsia="仿宋_GB2312" w:cs="Times New Roman"/>
          <w:sz w:val="32"/>
          <w:szCs w:val="32"/>
          <w:highlight w:val="none"/>
          <w:lang w:val="en-US" w:eastAsia="zh-CN"/>
        </w:rPr>
        <w:t>龙头</w:t>
      </w:r>
      <w:r>
        <w:rPr>
          <w:rFonts w:hint="default" w:ascii="仿宋_GB2312" w:eastAsia="仿宋_GB2312" w:cs="Times New Roman"/>
          <w:sz w:val="32"/>
          <w:szCs w:val="32"/>
          <w:highlight w:val="none"/>
          <w:lang w:val="en-US" w:eastAsia="zh-CN"/>
        </w:rPr>
        <w:t>企业。对全国重点龙头企业，创造条件，争取上市，加快融资；对有发展潜力的成长型中小企业，搞好引导和扶持，促其尽快上规模上水平。</w:t>
      </w:r>
    </w:p>
    <w:p>
      <w:pPr>
        <w:keepNext w:val="0"/>
        <w:keepLines w:val="0"/>
        <w:pageBreakBefore w:val="0"/>
        <w:widowControl w:val="0"/>
        <w:numPr>
          <w:ilvl w:val="0"/>
          <w:numId w:val="0"/>
        </w:numPr>
        <w:pBdr>
          <w:bottom w:val="single" w:color="FFFFFF" w:sz="4" w:space="17"/>
        </w:pBdr>
        <w:kinsoku/>
        <w:wordWrap/>
        <w:overflowPunct w:val="0"/>
        <w:topLinePunct w:val="0"/>
        <w:autoSpaceDE/>
        <w:autoSpaceDN/>
        <w:bidi w:val="0"/>
        <w:adjustRightInd w:val="0"/>
        <w:snapToGrid w:val="0"/>
        <w:spacing w:beforeAutospacing="0" w:afterAutospacing="0"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（六）强化科技人才支撑。</w:t>
      </w:r>
      <w:r>
        <w:rPr>
          <w:rFonts w:hint="eastAsia" w:ascii="仿宋_GB2312" w:hAnsi="仿宋_GB2312" w:eastAsia="仿宋_GB2312" w:cs="仿宋_GB2312"/>
          <w:sz w:val="32"/>
          <w:szCs w:val="32"/>
          <w:lang w:eastAsia="zh-CN"/>
        </w:rPr>
        <w:t>继续支持</w:t>
      </w:r>
      <w:r>
        <w:rPr>
          <w:rFonts w:hint="eastAsia" w:ascii="仿宋_GB2312" w:hAnsi="仿宋_GB2312" w:eastAsia="仿宋_GB2312" w:cs="仿宋_GB2312"/>
          <w:sz w:val="32"/>
          <w:szCs w:val="32"/>
        </w:rPr>
        <w:t>今麦郎中央研究所、河北省核桃工程技术研究中心、玉锋重点实验室</w:t>
      </w:r>
      <w:r>
        <w:rPr>
          <w:rFonts w:hint="eastAsia" w:ascii="仿宋_GB2312" w:hAnsi="仿宋_GB2312" w:eastAsia="仿宋_GB2312" w:cs="仿宋_GB2312"/>
          <w:sz w:val="32"/>
          <w:szCs w:val="32"/>
          <w:lang w:eastAsia="zh-CN"/>
        </w:rPr>
        <w:t>等技术研发中心，吸引更多的优秀科技人才，承担更多的研发项目与课题。</w:t>
      </w:r>
      <w:r>
        <w:rPr>
          <w:rFonts w:hint="eastAsia" w:ascii="Times New Roman" w:hAnsi="Times New Roman" w:eastAsia="仿宋_GB2312" w:cs="Times New Roman"/>
          <w:b w:val="0"/>
          <w:bCs/>
          <w:color w:val="000000"/>
          <w:kern w:val="0"/>
          <w:sz w:val="32"/>
          <w:szCs w:val="32"/>
          <w:lang w:val="en-US" w:eastAsia="zh-CN" w:bidi="ar"/>
        </w:rPr>
        <w:t>组织企业参加产业对接大会、品牌农产品展销会等，提高产品知名度，</w:t>
      </w:r>
      <w:r>
        <w:rPr>
          <w:rFonts w:hint="eastAsia" w:ascii="仿宋_GB2312" w:hAnsi="仿宋_GB2312" w:eastAsia="仿宋_GB2312" w:cs="仿宋_GB2312"/>
          <w:sz w:val="32"/>
          <w:szCs w:val="32"/>
          <w:lang w:val="en-US" w:eastAsia="zh-CN"/>
        </w:rPr>
        <w:t>组织龙头企业参加农业产业化创新创业对接等活动，推进更多高素质人才参与到我市乡村建设中来。</w:t>
      </w:r>
    </w:p>
    <w:p>
      <w:pPr>
        <w:keepNext w:val="0"/>
        <w:keepLines w:val="0"/>
        <w:pageBreakBefore w:val="0"/>
        <w:widowControl w:val="0"/>
        <w:numPr>
          <w:ilvl w:val="0"/>
          <w:numId w:val="0"/>
        </w:numPr>
        <w:pBdr>
          <w:bottom w:val="single" w:color="FFFFFF" w:sz="4" w:space="17"/>
        </w:pBdr>
        <w:kinsoku/>
        <w:wordWrap/>
        <w:overflowPunct w:val="0"/>
        <w:topLinePunct w:val="0"/>
        <w:autoSpaceDE/>
        <w:autoSpaceDN/>
        <w:bidi w:val="0"/>
        <w:adjustRightInd w:val="0"/>
        <w:snapToGrid w:val="0"/>
        <w:spacing w:beforeAutospacing="0" w:afterAutospacing="0" w:line="560" w:lineRule="exact"/>
        <w:ind w:firstLine="640" w:firstLineChars="200"/>
        <w:textAlignment w:val="auto"/>
        <w:rPr>
          <w:rFonts w:hint="eastAsia" w:ascii="仿宋_GB2312" w:hAnsi="仿宋_GB2312" w:eastAsia="仿宋_GB2312" w:cs="仿宋_GB2312"/>
          <w:b w:val="0"/>
          <w:bCs w:val="0"/>
          <w:color w:val="auto"/>
          <w:kern w:val="2"/>
          <w:sz w:val="32"/>
          <w:szCs w:val="32"/>
          <w:u w:val="none" w:color="auto"/>
          <w:lang w:val="en-US" w:eastAsia="zh-CN" w:bidi="ar"/>
        </w:rPr>
      </w:pPr>
      <w:r>
        <w:rPr>
          <w:rFonts w:hint="eastAsia" w:ascii="仿宋_GB2312" w:hAnsi="仿宋_GB2312" w:eastAsia="仿宋_GB2312" w:cs="仿宋_GB2312"/>
          <w:b w:val="0"/>
          <w:bCs w:val="0"/>
          <w:color w:val="auto"/>
          <w:kern w:val="2"/>
          <w:sz w:val="32"/>
          <w:szCs w:val="32"/>
          <w:u w:val="none" w:color="auto"/>
          <w:lang w:val="en-US" w:eastAsia="zh-CN" w:bidi="ar"/>
        </w:rPr>
        <w:t>感谢贵委对农业农村工作的关心和支持！</w:t>
      </w:r>
    </w:p>
    <w:p>
      <w:pPr>
        <w:pStyle w:val="2"/>
        <w:keepNext w:val="0"/>
        <w:keepLines w:val="0"/>
        <w:pageBreakBefore w:val="0"/>
        <w:widowControl w:val="0"/>
        <w:kinsoku/>
        <w:wordWrap/>
        <w:bidi w:val="0"/>
        <w:spacing w:line="560" w:lineRule="exact"/>
        <w:textAlignment w:val="auto"/>
        <w:rPr>
          <w:rFonts w:hint="eastAsia" w:ascii="仿宋_GB2312" w:hAnsi="仿宋_GB2312" w:eastAsia="仿宋_GB2312" w:cs="仿宋_GB2312"/>
          <w:b w:val="0"/>
          <w:bCs w:val="0"/>
          <w:color w:val="auto"/>
          <w:kern w:val="2"/>
          <w:sz w:val="32"/>
          <w:szCs w:val="32"/>
          <w:u w:val="none" w:color="auto"/>
          <w:lang w:val="en-US" w:eastAsia="zh-CN" w:bidi="ar"/>
        </w:rPr>
      </w:pPr>
    </w:p>
    <w:p>
      <w:pPr>
        <w:keepNext w:val="0"/>
        <w:keepLines w:val="0"/>
        <w:pageBreakBefore w:val="0"/>
        <w:widowControl w:val="0"/>
        <w:kinsoku/>
        <w:wordWrap/>
        <w:bidi w:val="0"/>
        <w:spacing w:line="560" w:lineRule="exact"/>
        <w:textAlignment w:val="auto"/>
        <w:rPr>
          <w:rFonts w:hint="eastAsia" w:ascii="仿宋_GB2312" w:hAnsi="仿宋_GB2312" w:eastAsia="仿宋_GB2312" w:cs="仿宋_GB2312"/>
          <w:b w:val="0"/>
          <w:bCs w:val="0"/>
          <w:color w:val="auto"/>
          <w:kern w:val="2"/>
          <w:sz w:val="32"/>
          <w:szCs w:val="32"/>
          <w:u w:val="none" w:color="auto"/>
          <w:lang w:val="en-US" w:eastAsia="zh-CN" w:bidi="ar"/>
        </w:rPr>
      </w:pPr>
    </w:p>
    <w:p>
      <w:pPr>
        <w:keepNext w:val="0"/>
        <w:keepLines w:val="0"/>
        <w:pageBreakBefore w:val="0"/>
        <w:widowControl w:val="0"/>
        <w:kinsoku/>
        <w:wordWrap/>
        <w:overflowPunct/>
        <w:topLinePunct w:val="0"/>
        <w:autoSpaceDE/>
        <w:autoSpaceDN/>
        <w:bidi w:val="0"/>
        <w:adjustRightInd/>
        <w:snapToGrid/>
        <w:spacing w:line="560" w:lineRule="exact"/>
        <w:ind w:right="0" w:firstLine="5120" w:firstLineChars="16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邢台市农业农村局</w:t>
      </w:r>
    </w:p>
    <w:p>
      <w:pPr>
        <w:keepNext w:val="0"/>
        <w:keepLines w:val="0"/>
        <w:pageBreakBefore w:val="0"/>
        <w:widowControl w:val="0"/>
        <w:kinsoku/>
        <w:wordWrap/>
        <w:overflowPunct/>
        <w:topLinePunct w:val="0"/>
        <w:autoSpaceDE/>
        <w:autoSpaceDN/>
        <w:bidi w:val="0"/>
        <w:adjustRightInd/>
        <w:snapToGrid/>
        <w:spacing w:line="560" w:lineRule="exact"/>
        <w:ind w:right="0" w:firstLine="5120" w:firstLineChars="16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2023</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29</w:t>
      </w:r>
      <w:r>
        <w:rPr>
          <w:rFonts w:hint="eastAsia" w:ascii="仿宋_GB2312" w:hAnsi="仿宋_GB2312" w:eastAsia="仿宋_GB2312" w:cs="仿宋_GB2312"/>
          <w:sz w:val="32"/>
          <w:szCs w:val="32"/>
        </w:rPr>
        <w:t>日</w:t>
      </w:r>
    </w:p>
    <w:p>
      <w:pPr>
        <w:pStyle w:val="2"/>
        <w:keepNext w:val="0"/>
        <w:keepLines w:val="0"/>
        <w:pageBreakBefore w:val="0"/>
        <w:widowControl w:val="0"/>
        <w:kinsoku/>
        <w:wordWrap/>
        <w:overflowPunct/>
        <w:topLinePunct w:val="0"/>
        <w:autoSpaceDE/>
        <w:autoSpaceDN/>
        <w:bidi w:val="0"/>
        <w:adjustRightInd/>
        <w:snapToGrid/>
        <w:spacing w:after="0" w:line="560" w:lineRule="exact"/>
        <w:ind w:left="0" w:leftChars="0" w:firstLine="0" w:firstLineChars="0"/>
        <w:textAlignment w:val="auto"/>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after="0" w:line="560" w:lineRule="exact"/>
        <w:ind w:left="0" w:leftChars="0" w:firstLine="0" w:firstLineChars="0"/>
        <w:textAlignment w:val="auto"/>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after="0" w:line="560" w:lineRule="exact"/>
        <w:ind w:left="0" w:leftChars="0" w:firstLine="0" w:firstLineChars="0"/>
        <w:textAlignment w:val="auto"/>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after="0" w:line="560" w:lineRule="exact"/>
        <w:ind w:left="0" w:leftChars="0" w:firstLine="0" w:firstLineChars="0"/>
        <w:textAlignment w:val="auto"/>
        <w:rPr>
          <w:rFonts w:hint="eastAsia" w:ascii="仿宋_GB2312" w:hAnsi="仿宋_GB2312" w:eastAsia="仿宋_GB2312" w:cs="仿宋_GB2312"/>
          <w:sz w:val="32"/>
          <w:szCs w:val="32"/>
        </w:rPr>
      </w:pPr>
    </w:p>
    <w:p>
      <w:pPr>
        <w:keepNext w:val="0"/>
        <w:keepLines w:val="0"/>
        <w:pageBreakBefore w:val="0"/>
        <w:widowControl w:val="0"/>
        <w:kinsoku/>
        <w:wordWrap/>
        <w:bidi w:val="0"/>
        <w:spacing w:line="56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bidi w:val="0"/>
        <w:spacing w:line="560" w:lineRule="exact"/>
        <w:textAlignment w:val="auto"/>
        <w:rPr>
          <w:rFonts w:hint="eastAsia"/>
        </w:rPr>
      </w:pPr>
    </w:p>
    <w:p>
      <w:pPr>
        <w:pStyle w:val="2"/>
        <w:keepNext w:val="0"/>
        <w:keepLines w:val="0"/>
        <w:pageBreakBefore w:val="0"/>
        <w:widowControl w:val="0"/>
        <w:kinsoku/>
        <w:wordWrap/>
        <w:bidi w:val="0"/>
        <w:spacing w:line="56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60" w:lineRule="exact"/>
        <w:ind w:right="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领导签发：</w:t>
      </w:r>
      <w:r>
        <w:rPr>
          <w:rFonts w:hint="eastAsia" w:ascii="仿宋_GB2312" w:hAnsi="仿宋_GB2312" w:eastAsia="仿宋_GB2312" w:cs="仿宋_GB2312"/>
          <w:sz w:val="32"/>
          <w:szCs w:val="32"/>
          <w:lang w:eastAsia="zh-CN"/>
        </w:rPr>
        <w:t>邱海飚</w:t>
      </w:r>
    </w:p>
    <w:p>
      <w:pPr>
        <w:keepNext w:val="0"/>
        <w:keepLines w:val="0"/>
        <w:pageBreakBefore w:val="0"/>
        <w:widowControl w:val="0"/>
        <w:kinsoku/>
        <w:wordWrap/>
        <w:overflowPunct/>
        <w:topLinePunct w:val="0"/>
        <w:autoSpaceDE/>
        <w:autoSpaceDN/>
        <w:bidi w:val="0"/>
        <w:adjustRightInd/>
        <w:snapToGrid/>
        <w:spacing w:line="560" w:lineRule="exact"/>
        <w:ind w:right="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联系人及电话：</w:t>
      </w:r>
      <w:r>
        <w:rPr>
          <w:rFonts w:hint="eastAsia" w:ascii="仿宋_GB2312" w:hAnsi="仿宋_GB2312" w:eastAsia="仿宋_GB2312" w:cs="仿宋_GB2312"/>
          <w:sz w:val="32"/>
          <w:szCs w:val="32"/>
          <w:lang w:eastAsia="zh-CN"/>
        </w:rPr>
        <w:t>廖志峰</w:t>
      </w:r>
      <w:r>
        <w:rPr>
          <w:rFonts w:hint="eastAsia" w:ascii="仿宋_GB2312" w:hAnsi="仿宋_GB2312" w:eastAsia="仿宋_GB2312" w:cs="仿宋_GB2312"/>
          <w:sz w:val="32"/>
          <w:szCs w:val="32"/>
          <w:lang w:val="en-US" w:eastAsia="zh-CN"/>
        </w:rPr>
        <w:t xml:space="preserve"> 3163501</w:t>
      </w:r>
    </w:p>
    <w:p>
      <w:pPr>
        <w:keepNext w:val="0"/>
        <w:keepLines w:val="0"/>
        <w:pageBreakBefore w:val="0"/>
        <w:widowControl w:val="0"/>
        <w:kinsoku/>
        <w:wordWrap/>
        <w:overflowPunct/>
        <w:topLinePunct w:val="0"/>
        <w:bidi w:val="0"/>
        <w:adjustRightInd/>
        <w:snapToGrid/>
        <w:spacing w:line="560" w:lineRule="exact"/>
        <w:textAlignment w:val="auto"/>
      </w:pPr>
      <w:r>
        <w:rPr>
          <w:rFonts w:hint="eastAsia" w:ascii="仿宋_GB2312" w:hAnsi="仿宋_GB2312" w:eastAsia="仿宋_GB2312" w:cs="仿宋_GB2312"/>
          <w:sz w:val="32"/>
          <w:szCs w:val="32"/>
        </w:rPr>
        <w:t>抄送：市政府办公室，市政协提案委员会。</w:t>
      </w:r>
    </w:p>
    <w:sectPr>
      <w:footerReference r:id="rId3" w:type="default"/>
      <w:pgSz w:w="11906" w:h="16838"/>
      <w:pgMar w:top="2098" w:right="1531" w:bottom="1984" w:left="1531" w:header="851" w:footer="1701" w:gutter="0"/>
      <w:pgNumType w:fmt="numberInDash" w:start="2"/>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CC"/>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altName w:val="方正仿宋_GBK"/>
    <w:panose1 w:val="02010609060101010101"/>
    <w:charset w:val="86"/>
    <w:family w:val="auto"/>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7"/>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E2Yjg4ZWZiYzQ2Yzk4MTAwMzUzMDBlMDI0MjNhMTIifQ=="/>
  </w:docVars>
  <w:rsids>
    <w:rsidRoot w:val="00172A27"/>
    <w:rsid w:val="0737795B"/>
    <w:rsid w:val="09CA2B8A"/>
    <w:rsid w:val="15E76D17"/>
    <w:rsid w:val="16D01B7A"/>
    <w:rsid w:val="1CDBB9DF"/>
    <w:rsid w:val="1F476F4B"/>
    <w:rsid w:val="1FDD72BB"/>
    <w:rsid w:val="201B5C14"/>
    <w:rsid w:val="25BC1C48"/>
    <w:rsid w:val="28B766F6"/>
    <w:rsid w:val="29DB6414"/>
    <w:rsid w:val="2C224B8B"/>
    <w:rsid w:val="2F182E9D"/>
    <w:rsid w:val="2FBE9791"/>
    <w:rsid w:val="2FD45DE0"/>
    <w:rsid w:val="335B26D8"/>
    <w:rsid w:val="383DC524"/>
    <w:rsid w:val="39AF5291"/>
    <w:rsid w:val="3B892174"/>
    <w:rsid w:val="3BFA927A"/>
    <w:rsid w:val="3FFBC251"/>
    <w:rsid w:val="40055B41"/>
    <w:rsid w:val="499E6DEB"/>
    <w:rsid w:val="49F74C39"/>
    <w:rsid w:val="4AD122BB"/>
    <w:rsid w:val="4DF43A2B"/>
    <w:rsid w:val="4EBE3A8B"/>
    <w:rsid w:val="510D7ED3"/>
    <w:rsid w:val="52AF2069"/>
    <w:rsid w:val="555D3FFE"/>
    <w:rsid w:val="55D1FE9B"/>
    <w:rsid w:val="5ABE41EA"/>
    <w:rsid w:val="5AF2BB5E"/>
    <w:rsid w:val="5B435D77"/>
    <w:rsid w:val="5B7A6F8C"/>
    <w:rsid w:val="5BBF71DF"/>
    <w:rsid w:val="60C72C73"/>
    <w:rsid w:val="61B40CB5"/>
    <w:rsid w:val="655223E7"/>
    <w:rsid w:val="677E8331"/>
    <w:rsid w:val="67D9832C"/>
    <w:rsid w:val="6B3C5FA3"/>
    <w:rsid w:val="6DF6D330"/>
    <w:rsid w:val="6E26766C"/>
    <w:rsid w:val="6EE45B88"/>
    <w:rsid w:val="6EFFF2F7"/>
    <w:rsid w:val="701927AF"/>
    <w:rsid w:val="76EAE4D1"/>
    <w:rsid w:val="76FD80C3"/>
    <w:rsid w:val="774A385E"/>
    <w:rsid w:val="79EDDAF8"/>
    <w:rsid w:val="7BBBEA18"/>
    <w:rsid w:val="7BFF4B93"/>
    <w:rsid w:val="7DEF618E"/>
    <w:rsid w:val="7DFF85C7"/>
    <w:rsid w:val="7EBB9EDB"/>
    <w:rsid w:val="7F73B8D6"/>
    <w:rsid w:val="7F7E1A7C"/>
    <w:rsid w:val="7F7FB641"/>
    <w:rsid w:val="7FBFAAEF"/>
    <w:rsid w:val="7FFC1665"/>
    <w:rsid w:val="7FFD28B9"/>
    <w:rsid w:val="8F7ABEF5"/>
    <w:rsid w:val="8FFE8814"/>
    <w:rsid w:val="B7EB8154"/>
    <w:rsid w:val="BBDD9553"/>
    <w:rsid w:val="BFBF3714"/>
    <w:rsid w:val="BFBF539B"/>
    <w:rsid w:val="C397731F"/>
    <w:rsid w:val="C81B24B8"/>
    <w:rsid w:val="CDDBDB31"/>
    <w:rsid w:val="CF3BB208"/>
    <w:rsid w:val="CFFF5714"/>
    <w:rsid w:val="D6DAA493"/>
    <w:rsid w:val="D7CB4134"/>
    <w:rsid w:val="DE3734CD"/>
    <w:rsid w:val="DFEFC71C"/>
    <w:rsid w:val="EDFD1A9C"/>
    <w:rsid w:val="EF7F6A59"/>
    <w:rsid w:val="EF7FED48"/>
    <w:rsid w:val="FABBC40F"/>
    <w:rsid w:val="FBEFEEA8"/>
    <w:rsid w:val="FD73C782"/>
    <w:rsid w:val="FDBDE3F9"/>
    <w:rsid w:val="FDEF5AFE"/>
    <w:rsid w:val="FE9D8884"/>
    <w:rsid w:val="FEC73023"/>
    <w:rsid w:val="FF7341D7"/>
    <w:rsid w:val="FF7E183F"/>
    <w:rsid w:val="FFFB77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unhideWhenUsed/>
    <w:qFormat/>
    <w:uiPriority w:val="99"/>
    <w:pPr>
      <w:ind w:firstLine="420" w:firstLineChars="200"/>
    </w:pPr>
  </w:style>
  <w:style w:type="paragraph" w:styleId="3">
    <w:name w:val="Body Text Indent"/>
    <w:basedOn w:val="1"/>
    <w:next w:val="1"/>
    <w:unhideWhenUsed/>
    <w:qFormat/>
    <w:uiPriority w:val="99"/>
    <w:pPr>
      <w:spacing w:after="120"/>
      <w:ind w:left="420" w:leftChars="200"/>
    </w:pPr>
  </w:style>
  <w:style w:type="paragraph" w:styleId="4">
    <w:name w:val="Normal Indent"/>
    <w:basedOn w:val="1"/>
    <w:next w:val="5"/>
    <w:qFormat/>
    <w:uiPriority w:val="0"/>
    <w:pPr>
      <w:ind w:firstLine="420"/>
    </w:pPr>
    <w:rPr>
      <w:szCs w:val="21"/>
    </w:rPr>
  </w:style>
  <w:style w:type="paragraph" w:styleId="5">
    <w:name w:val="Plain Text"/>
    <w:basedOn w:val="1"/>
    <w:qFormat/>
    <w:uiPriority w:val="0"/>
    <w:rPr>
      <w:rFonts w:ascii="宋体" w:hAnsi="Courier New"/>
    </w:rPr>
  </w:style>
  <w:style w:type="paragraph" w:styleId="6">
    <w:name w:val="toa heading"/>
    <w:basedOn w:val="1"/>
    <w:next w:val="1"/>
    <w:qFormat/>
    <w:uiPriority w:val="0"/>
    <w:pPr>
      <w:spacing w:before="120"/>
    </w:pPr>
    <w:rPr>
      <w:rFonts w:ascii="Arial" w:hAnsi="Arial"/>
      <w:sz w:val="24"/>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1">
    <w:name w:val="正文缩进1"/>
    <w:basedOn w:val="1"/>
    <w:qFormat/>
    <w:uiPriority w:val="0"/>
    <w:pPr>
      <w:ind w:firstLine="200" w:firstLineChars="200"/>
    </w:pPr>
    <w:rPr>
      <w:rFonts w:ascii="Times New Roman" w:hAnsi="Times New Roman"/>
    </w:rPr>
  </w:style>
  <w:style w:type="paragraph" w:customStyle="1" w:styleId="12">
    <w:name w:val="样式1"/>
    <w:basedOn w:val="7"/>
    <w:qFormat/>
    <w:uiPriority w:val="0"/>
    <w:rPr>
      <w:rFonts w:ascii="Times New Roman" w:hAnsi="Times New Roman" w:eastAsia="华文仿宋" w:cs="Times New Roman"/>
      <w:sz w:val="28"/>
    </w:rPr>
  </w:style>
  <w:style w:type="paragraph" w:customStyle="1" w:styleId="13">
    <w:name w:val="Default"/>
    <w:qFormat/>
    <w:uiPriority w:val="0"/>
    <w:pPr>
      <w:widowControl w:val="0"/>
      <w:autoSpaceDE w:val="0"/>
      <w:autoSpaceDN w:val="0"/>
      <w:adjustRightInd w:val="0"/>
      <w:spacing w:line="240" w:lineRule="atLeast"/>
      <w:jc w:val="center"/>
    </w:pPr>
    <w:rPr>
      <w:rFonts w:ascii="Times New Roman" w:hAnsi="Calibri" w:eastAsia="宋体" w:cs="Times New Roman"/>
      <w:sz w:val="21"/>
      <w:szCs w:val="22"/>
      <w:lang w:val="en-US" w:eastAsia="zh-CN" w:bidi="ar-SA"/>
    </w:rPr>
  </w:style>
  <w:style w:type="paragraph" w:customStyle="1" w:styleId="14">
    <w:name w:val="toa heading1"/>
    <w:basedOn w:val="1"/>
    <w:next w:val="1"/>
    <w:qFormat/>
    <w:uiPriority w:val="0"/>
    <w:pPr>
      <w:spacing w:before="120" w:beforeLines="0" w:beforeAutospacing="0"/>
    </w:pPr>
    <w:rPr>
      <w:rFonts w:ascii="Arial" w:hAnsi="Arial" w:eastAsia="宋体" w:cs="Times New Roman"/>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7</Pages>
  <Words>3385</Words>
  <Characters>3452</Characters>
  <Lines>0</Lines>
  <Paragraphs>0</Paragraphs>
  <TotalTime>1</TotalTime>
  <ScaleCrop>false</ScaleCrop>
  <LinksUpToDate>false</LinksUpToDate>
  <CharactersWithSpaces>3491</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2020-02-28T09:26:00Z</dcterms:created>
  <dc:creator>Administrator</dc:creator>
  <cp:lastModifiedBy>ncj</cp:lastModifiedBy>
  <cp:lastPrinted>2023-06-02T18:53:00Z</cp:lastPrinted>
  <dcterms:modified xsi:type="dcterms:W3CDTF">2024-02-01T13:54:31Z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F72B2E0525D448EAB4C7B08EDCC7A662_12</vt:lpwstr>
  </property>
</Properties>
</file>