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640" w:lineRule="exact"/>
        <w:ind w:right="0" w:firstLine="640" w:firstLineChars="200"/>
        <w:jc w:val="center"/>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40" w:lineRule="exact"/>
        <w:ind w:right="0" w:firstLine="640" w:firstLineChars="200"/>
        <w:jc w:val="center"/>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是否同意公开：</w:t>
      </w:r>
      <w:r>
        <w:rPr>
          <w:rFonts w:hint="eastAsia" w:ascii="仿宋_GB2312" w:hAnsi="仿宋_GB2312" w:eastAsia="仿宋_GB2312" w:cs="仿宋_GB2312"/>
          <w:spacing w:val="0"/>
          <w:w w:val="100"/>
          <w:position w:val="0"/>
          <w:sz w:val="32"/>
          <w:szCs w:val="32"/>
          <w:lang w:val="en-US" w:eastAsia="zh-CN"/>
        </w:rPr>
        <w:t>是</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办理结果：</w:t>
      </w:r>
      <w:r>
        <w:rPr>
          <w:rFonts w:hint="eastAsia" w:ascii="仿宋_GB2312" w:hAnsi="仿宋_GB2312" w:eastAsia="仿宋_GB2312" w:cs="仿宋_GB2312"/>
          <w:spacing w:val="0"/>
          <w:w w:val="100"/>
          <w:position w:val="0"/>
          <w:sz w:val="32"/>
          <w:szCs w:val="32"/>
          <w:lang w:val="en-US" w:eastAsia="zh-CN"/>
        </w:rPr>
        <w:t>A</w:t>
      </w:r>
    </w:p>
    <w:p>
      <w:pPr>
        <w:keepNext w:val="0"/>
        <w:keepLines w:val="0"/>
        <w:pageBreakBefore w:val="0"/>
        <w:widowControl/>
        <w:tabs>
          <w:tab w:val="left" w:pos="5328"/>
        </w:tabs>
        <w:kinsoku w:val="0"/>
        <w:wordWrap/>
        <w:overflowPunct/>
        <w:topLinePunct w:val="0"/>
        <w:autoSpaceDE w:val="0"/>
        <w:autoSpaceDN w:val="0"/>
        <w:bidi w:val="0"/>
        <w:adjustRightInd w:val="0"/>
        <w:snapToGrid w:val="0"/>
        <w:spacing w:line="560" w:lineRule="exact"/>
        <w:ind w:right="0" w:firstLine="640" w:firstLineChars="200"/>
        <w:jc w:val="right"/>
        <w:textAlignment w:val="baseline"/>
        <w:rPr>
          <w:rFonts w:hint="eastAsia" w:ascii="仿宋_GB2312" w:hAnsi="仿宋_GB2312" w:eastAsia="仿宋_GB2312" w:cs="仿宋_GB2312"/>
          <w:spacing w:val="0"/>
          <w:w w:val="100"/>
          <w:position w:val="0"/>
          <w:sz w:val="32"/>
          <w:szCs w:val="32"/>
          <w:highlight w:val="none"/>
          <w:lang w:val="en-US" w:eastAsia="zh-CN"/>
        </w:rPr>
      </w:pPr>
      <w:r>
        <w:rPr>
          <w:rFonts w:hint="eastAsia" w:ascii="仿宋_GB2312" w:hAnsi="仿宋_GB2312" w:eastAsia="仿宋_GB2312" w:cs="仿宋_GB2312"/>
          <w:spacing w:val="0"/>
          <w:w w:val="100"/>
          <w:position w:val="0"/>
          <w:sz w:val="32"/>
          <w:szCs w:val="32"/>
          <w:highlight w:val="none"/>
          <w:lang w:val="en-US" w:eastAsia="zh-CN"/>
        </w:rPr>
        <w:t>邢农提案字〔2024〕38</w:t>
      </w:r>
      <w:bookmarkStart w:id="0" w:name="_GoBack"/>
      <w:bookmarkEnd w:id="0"/>
      <w:r>
        <w:rPr>
          <w:rFonts w:hint="eastAsia" w:ascii="仿宋_GB2312" w:hAnsi="仿宋_GB2312" w:eastAsia="仿宋_GB2312" w:cs="仿宋_GB2312"/>
          <w:spacing w:val="0"/>
          <w:w w:val="100"/>
          <w:position w:val="0"/>
          <w:sz w:val="32"/>
          <w:szCs w:val="32"/>
          <w:highlight w:val="none"/>
          <w:lang w:val="en-US" w:eastAsia="zh-CN"/>
        </w:rPr>
        <w:t>号</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880" w:firstLineChars="200"/>
        <w:jc w:val="both"/>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eastAsia="zh-CN"/>
        </w:rPr>
      </w:pPr>
      <w:r>
        <w:rPr>
          <w:rFonts w:hint="eastAsia" w:ascii="方正小标宋简体" w:hAnsi="方正小标宋简体" w:eastAsia="方正小标宋简体" w:cs="方正小标宋简体"/>
          <w:b w:val="0"/>
          <w:bCs w:val="0"/>
          <w:spacing w:val="0"/>
          <w:w w:val="100"/>
          <w:position w:val="0"/>
          <w:sz w:val="44"/>
          <w:szCs w:val="44"/>
          <w:lang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rPr>
      </w:pPr>
      <w:r>
        <w:rPr>
          <w:rFonts w:hint="eastAsia" w:ascii="方正小标宋简体" w:hAnsi="方正小标宋简体" w:eastAsia="方正小标宋简体" w:cs="方正小标宋简体"/>
          <w:b w:val="0"/>
          <w:bCs w:val="0"/>
          <w:spacing w:val="0"/>
          <w:w w:val="100"/>
          <w:position w:val="0"/>
          <w:sz w:val="44"/>
          <w:szCs w:val="44"/>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_GBK" w:hAnsi="方正小标宋_GBK" w:eastAsia="方正小标宋_GBK" w:cs="方正小标宋_GBK"/>
          <w:b w:val="0"/>
          <w:bCs w:val="0"/>
          <w:spacing w:val="0"/>
          <w:w w:val="100"/>
          <w:position w:val="0"/>
          <w:sz w:val="44"/>
          <w:szCs w:val="44"/>
        </w:rPr>
      </w:pPr>
      <w:r>
        <w:rPr>
          <w:rFonts w:hint="eastAsia" w:ascii="方正小标宋简体" w:hAnsi="方正小标宋简体" w:eastAsia="方正小标宋简体" w:cs="方正小标宋简体"/>
          <w:b w:val="0"/>
          <w:bCs w:val="0"/>
          <w:spacing w:val="0"/>
          <w:w w:val="100"/>
          <w:position w:val="0"/>
          <w:sz w:val="44"/>
          <w:szCs w:val="44"/>
        </w:rPr>
        <w:t>第</w:t>
      </w:r>
      <w:r>
        <w:rPr>
          <w:rFonts w:hint="eastAsia" w:ascii="方正小标宋简体" w:hAnsi="方正小标宋简体" w:eastAsia="方正小标宋简体" w:cs="方正小标宋简体"/>
          <w:b w:val="0"/>
          <w:bCs w:val="0"/>
          <w:spacing w:val="0"/>
          <w:w w:val="100"/>
          <w:position w:val="0"/>
          <w:sz w:val="44"/>
          <w:szCs w:val="44"/>
          <w:lang w:val="en-US" w:eastAsia="zh-CN"/>
        </w:rPr>
        <w:t>四</w:t>
      </w:r>
      <w:r>
        <w:rPr>
          <w:rFonts w:hint="eastAsia" w:ascii="方正小标宋简体" w:hAnsi="方正小标宋简体" w:eastAsia="方正小标宋简体" w:cs="方正小标宋简体"/>
          <w:b w:val="0"/>
          <w:bCs w:val="0"/>
          <w:spacing w:val="0"/>
          <w:w w:val="100"/>
          <w:position w:val="0"/>
          <w:sz w:val="44"/>
          <w:szCs w:val="44"/>
        </w:rPr>
        <w:t>次会议第</w:t>
      </w:r>
      <w:r>
        <w:rPr>
          <w:rFonts w:hint="eastAsia" w:ascii="方正小标宋简体" w:hAnsi="方正小标宋简体" w:eastAsia="方正小标宋简体" w:cs="方正小标宋简体"/>
          <w:b w:val="0"/>
          <w:bCs w:val="0"/>
          <w:spacing w:val="0"/>
          <w:w w:val="100"/>
          <w:position w:val="0"/>
          <w:sz w:val="44"/>
          <w:szCs w:val="44"/>
          <w:lang w:val="en-US" w:eastAsia="zh-CN"/>
        </w:rPr>
        <w:t>605</w:t>
      </w:r>
      <w:r>
        <w:rPr>
          <w:rFonts w:hint="eastAsia" w:ascii="方正小标宋简体" w:hAnsi="方正小标宋简体" w:eastAsia="方正小标宋简体" w:cs="方正小标宋简体"/>
          <w:b w:val="0"/>
          <w:bCs w:val="0"/>
          <w:spacing w:val="0"/>
          <w:w w:val="100"/>
          <w:position w:val="0"/>
          <w:sz w:val="44"/>
          <w:szCs w:val="44"/>
        </w:rPr>
        <w:t>号提案的答复</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20" w:firstLineChars="200"/>
        <w:jc w:val="center"/>
        <w:textAlignment w:val="baseline"/>
        <w:rPr>
          <w:rFonts w:ascii="仿宋" w:hAnsi="仿宋" w:eastAsia="仿宋" w:cs="仿宋"/>
          <w:spacing w:val="0"/>
          <w:w w:val="100"/>
          <w:position w:val="0"/>
          <w:sz w:val="31"/>
          <w:szCs w:val="31"/>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lang w:eastAsia="zh-CN"/>
        </w:rPr>
        <w:t>曲俊旺</w:t>
      </w:r>
      <w:r>
        <w:rPr>
          <w:rFonts w:hint="eastAsia" w:ascii="仿宋_GB2312" w:hAnsi="仿宋_GB2312" w:eastAsia="仿宋_GB2312" w:cs="仿宋_GB2312"/>
          <w:spacing w:val="0"/>
          <w:w w:val="100"/>
          <w:position w:val="0"/>
          <w:sz w:val="32"/>
          <w:szCs w:val="32"/>
        </w:rPr>
        <w:t>委员:</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left"/>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rPr>
        <w:t>您提出的</w:t>
      </w:r>
      <w:r>
        <w:rPr>
          <w:rFonts w:hint="eastAsia" w:ascii="仿宋_GB2312" w:hAnsi="仿宋_GB2312" w:eastAsia="仿宋_GB2312" w:cs="仿宋_GB2312"/>
          <w:spacing w:val="0"/>
          <w:w w:val="100"/>
          <w:position w:val="0"/>
          <w:sz w:val="32"/>
          <w:szCs w:val="32"/>
          <w:lang w:val="en-US" w:eastAsia="zh-CN"/>
        </w:rPr>
        <w:t>关于</w:t>
      </w:r>
      <w:r>
        <w:rPr>
          <w:rFonts w:hint="eastAsia" w:ascii="仿宋_GB2312" w:hAnsi="仿宋_GB2312" w:eastAsia="仿宋_GB2312" w:cs="仿宋_GB2312"/>
          <w:spacing w:val="0"/>
          <w:w w:val="100"/>
          <w:position w:val="0"/>
          <w:sz w:val="32"/>
          <w:szCs w:val="32"/>
        </w:rPr>
        <w:t>“</w:t>
      </w:r>
      <w:r>
        <w:rPr>
          <w:rFonts w:hint="eastAsia" w:ascii="仿宋_GB2312" w:hAnsi="仿宋_GB2312" w:eastAsia="仿宋_GB2312" w:cs="仿宋_GB2312"/>
          <w:spacing w:val="0"/>
          <w:w w:val="100"/>
          <w:position w:val="0"/>
          <w:sz w:val="32"/>
          <w:szCs w:val="32"/>
          <w:lang w:val="en-US" w:eastAsia="zh-CN"/>
        </w:rPr>
        <w:t>关于积极融入食品加工产业隆起带建设的建议</w:t>
      </w:r>
      <w:r>
        <w:rPr>
          <w:rFonts w:hint="eastAsia" w:ascii="仿宋_GB2312" w:hAnsi="仿宋_GB2312" w:eastAsia="仿宋_GB2312" w:cs="仿宋_GB2312"/>
          <w:spacing w:val="0"/>
          <w:w w:val="100"/>
          <w:position w:val="0"/>
          <w:sz w:val="32"/>
          <w:szCs w:val="32"/>
        </w:rPr>
        <w:t>”</w:t>
      </w:r>
      <w:r>
        <w:rPr>
          <w:rFonts w:hint="eastAsia" w:ascii="仿宋_GB2312" w:hAnsi="仿宋_GB2312" w:eastAsia="仿宋_GB2312" w:cs="仿宋_GB2312"/>
          <w:spacing w:val="0"/>
          <w:w w:val="100"/>
          <w:position w:val="0"/>
          <w:sz w:val="32"/>
          <w:szCs w:val="32"/>
          <w:lang w:val="en-US" w:eastAsia="zh-CN"/>
        </w:rPr>
        <w:t>的提案</w:t>
      </w:r>
      <w:r>
        <w:rPr>
          <w:rFonts w:hint="eastAsia" w:ascii="仿宋_GB2312" w:hAnsi="仿宋_GB2312" w:eastAsia="仿宋_GB2312" w:cs="仿宋_GB2312"/>
          <w:spacing w:val="0"/>
          <w:w w:val="100"/>
          <w:position w:val="0"/>
          <w:sz w:val="32"/>
          <w:szCs w:val="32"/>
        </w:rPr>
        <w:t>收悉</w:t>
      </w:r>
      <w:r>
        <w:rPr>
          <w:rFonts w:hint="eastAsia" w:ascii="仿宋_GB2312" w:hAnsi="仿宋_GB2312" w:eastAsia="仿宋_GB2312" w:cs="仿宋_GB2312"/>
          <w:spacing w:val="0"/>
          <w:w w:val="100"/>
          <w:position w:val="0"/>
          <w:sz w:val="32"/>
          <w:szCs w:val="32"/>
          <w:lang w:eastAsia="zh-CN"/>
        </w:rPr>
        <w:t>。</w:t>
      </w:r>
      <w:r>
        <w:rPr>
          <w:rFonts w:hint="eastAsia" w:ascii="仿宋_GB2312" w:hAnsi="仿宋_GB2312" w:eastAsia="仿宋_GB2312" w:cs="仿宋_GB2312"/>
          <w:sz w:val="32"/>
          <w:szCs w:val="32"/>
          <w:lang w:eastAsia="zh-CN"/>
        </w:rPr>
        <w:t>我局高度重视，认真研究，积极抓好落实。现结合工作实际答复</w:t>
      </w:r>
      <w:r>
        <w:rPr>
          <w:rFonts w:hint="eastAsia" w:ascii="仿宋_GB2312" w:hAnsi="仿宋_GB2312" w:eastAsia="仿宋_GB2312" w:cs="仿宋_GB2312"/>
          <w:sz w:val="32"/>
          <w:szCs w:val="32"/>
        </w:rPr>
        <w:t>如下：</w:t>
      </w:r>
    </w:p>
    <w:p>
      <w:pPr>
        <w:pStyle w:val="10"/>
        <w:keepNext w:val="0"/>
        <w:keepLines w:val="0"/>
        <w:pageBreakBefore w:val="0"/>
        <w:widowControl w:val="0"/>
        <w:numPr>
          <w:ilvl w:val="0"/>
          <w:numId w:val="0"/>
        </w:numPr>
        <w:kinsoku/>
        <w:wordWrap/>
        <w:overflowPunct/>
        <w:topLinePunct w:val="0"/>
        <w:autoSpaceDE/>
        <w:autoSpaceDN/>
        <w:bidi w:val="0"/>
        <w:adjustRightInd/>
        <w:spacing w:line="560" w:lineRule="exact"/>
        <w:ind w:right="0" w:rightChars="0" w:firstLine="640" w:firstLineChars="200"/>
        <w:jc w:val="left"/>
        <w:textAlignment w:val="auto"/>
        <w:rPr>
          <w:rFonts w:hint="eastAsia" w:ascii="黑体" w:hAnsi="黑体" w:eastAsia="黑体" w:cs="黑体"/>
          <w:spacing w:val="0"/>
          <w:w w:val="100"/>
          <w:position w:val="0"/>
          <w:sz w:val="32"/>
          <w:szCs w:val="32"/>
          <w:highlight w:val="none"/>
          <w:lang w:eastAsia="zh-CN"/>
        </w:rPr>
      </w:pPr>
      <w:r>
        <w:rPr>
          <w:rFonts w:hint="eastAsia" w:ascii="黑体" w:hAnsi="黑体" w:eastAsia="黑体" w:cs="黑体"/>
          <w:spacing w:val="0"/>
          <w:w w:val="100"/>
          <w:position w:val="0"/>
          <w:sz w:val="32"/>
          <w:szCs w:val="32"/>
          <w:highlight w:val="none"/>
          <w:lang w:eastAsia="zh-CN"/>
        </w:rPr>
        <w:t>一、关于强化“隆起带”辐射带动作用</w:t>
      </w:r>
    </w:p>
    <w:p>
      <w:pPr>
        <w:pStyle w:val="10"/>
        <w:keepNext w:val="0"/>
        <w:keepLines w:val="0"/>
        <w:pageBreakBefore w:val="0"/>
        <w:widowControl w:val="0"/>
        <w:numPr>
          <w:ilvl w:val="0"/>
          <w:numId w:val="0"/>
        </w:numPr>
        <w:kinsoku/>
        <w:wordWrap/>
        <w:overflowPunct/>
        <w:topLinePunct w:val="0"/>
        <w:autoSpaceDE/>
        <w:autoSpaceDN/>
        <w:bidi w:val="0"/>
        <w:adjustRightInd/>
        <w:spacing w:line="560" w:lineRule="exact"/>
        <w:ind w:right="0" w:rightChars="0" w:firstLine="691" w:firstLineChars="200"/>
        <w:jc w:val="left"/>
        <w:textAlignment w:val="auto"/>
        <w:rPr>
          <w:rFonts w:hint="eastAsia" w:ascii="仿宋_GB2312" w:hAnsi="仿宋_GB2312" w:eastAsia="仿宋_GB2312" w:cs="仿宋_GB2312"/>
          <w:spacing w:val="12"/>
          <w:kern w:val="2"/>
          <w:sz w:val="32"/>
          <w:szCs w:val="32"/>
          <w:highlight w:val="none"/>
          <w:lang w:val="en-US" w:eastAsia="zh-CN" w:bidi="ar-SA"/>
        </w:rPr>
        <w:sectPr>
          <w:headerReference r:id="rId3" w:type="default"/>
          <w:footerReference r:id="rId4" w:type="default"/>
          <w:pgSz w:w="11906" w:h="16838"/>
          <w:pgMar w:top="2098" w:right="1531" w:bottom="1984" w:left="1531" w:header="851" w:footer="1701" w:gutter="0"/>
          <w:pgNumType w:fmt="numberInDash"/>
          <w:cols w:space="425" w:num="1"/>
          <w:docGrid w:type="lines" w:linePitch="312" w:charSpace="0"/>
        </w:sectPr>
      </w:pPr>
      <w:r>
        <w:rPr>
          <w:rFonts w:hint="eastAsia" w:ascii="仿宋_GB2312" w:hAnsi="仿宋_GB2312" w:eastAsia="仿宋_GB2312" w:cs="仿宋_GB2312"/>
          <w:b/>
          <w:bCs/>
          <w:spacing w:val="12"/>
          <w:kern w:val="2"/>
          <w:sz w:val="32"/>
          <w:szCs w:val="32"/>
          <w:highlight w:val="none"/>
          <w:lang w:val="en-US" w:eastAsia="zh-CN" w:bidi="ar-SA"/>
        </w:rPr>
        <w:t>一是</w:t>
      </w:r>
      <w:r>
        <w:rPr>
          <w:rFonts w:hint="eastAsia" w:ascii="仿宋_GB2312" w:hAnsi="仿宋_GB2312" w:eastAsia="仿宋_GB2312" w:cs="仿宋_GB2312"/>
          <w:spacing w:val="12"/>
          <w:kern w:val="2"/>
          <w:sz w:val="32"/>
          <w:szCs w:val="32"/>
          <w:highlight w:val="none"/>
          <w:lang w:val="en-US" w:eastAsia="zh-CN" w:bidi="ar-SA"/>
        </w:rPr>
        <w:t>制定隆起带规划建设方案。聘请中国农业科学院农产品加工研究所和邢台市建筑设计研究院，结合国土空间规划，编制了邢台市食品加工产业隆起带规划建设方案，科学精准谋划隆起带发展路径和目标。明确将按照“一年打基础、三年出形象、五年成规模”的时间节点要求，打造主导产业优势明显、区域特色突出、示范带动效应显著的“全省一流、全国领先”的千亿级食品加工产业聚集区。</w:t>
      </w:r>
      <w:r>
        <w:rPr>
          <w:rFonts w:hint="eastAsia" w:ascii="仿宋_GB2312" w:hAnsi="仿宋_GB2312" w:eastAsia="仿宋_GB2312" w:cs="仿宋_GB2312"/>
          <w:b/>
          <w:bCs/>
          <w:spacing w:val="12"/>
          <w:kern w:val="2"/>
          <w:sz w:val="32"/>
          <w:szCs w:val="32"/>
          <w:highlight w:val="none"/>
          <w:lang w:val="en-US" w:eastAsia="zh-CN" w:bidi="ar-SA"/>
        </w:rPr>
        <w:t>二是</w:t>
      </w:r>
      <w:r>
        <w:rPr>
          <w:rFonts w:hint="eastAsia" w:ascii="仿宋_GB2312" w:hAnsi="仿宋_GB2312" w:eastAsia="仿宋_GB2312" w:cs="仿宋_GB2312"/>
          <w:spacing w:val="12"/>
          <w:kern w:val="2"/>
          <w:sz w:val="32"/>
          <w:szCs w:val="32"/>
          <w:highlight w:val="none"/>
          <w:lang w:val="en-US" w:eastAsia="zh-CN" w:bidi="ar-SA"/>
        </w:rPr>
        <w:t>出台隆起带</w:t>
      </w:r>
    </w:p>
    <w:p>
      <w:pPr>
        <w:pStyle w:val="10"/>
        <w:keepNext w:val="0"/>
        <w:keepLines w:val="0"/>
        <w:pageBreakBefore w:val="0"/>
        <w:widowControl w:val="0"/>
        <w:numPr>
          <w:ilvl w:val="0"/>
          <w:numId w:val="0"/>
        </w:numPr>
        <w:kinsoku/>
        <w:wordWrap/>
        <w:overflowPunct/>
        <w:topLinePunct w:val="0"/>
        <w:autoSpaceDE/>
        <w:autoSpaceDN/>
        <w:bidi w:val="0"/>
        <w:adjustRightInd/>
        <w:spacing w:line="560" w:lineRule="exact"/>
        <w:ind w:right="0" w:rightChars="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pacing w:val="12"/>
          <w:kern w:val="2"/>
          <w:sz w:val="32"/>
          <w:szCs w:val="32"/>
          <w:highlight w:val="none"/>
          <w:lang w:val="en-US" w:eastAsia="zh-CN" w:bidi="ar-SA"/>
        </w:rPr>
        <w:t>支持措施。围绕招商引资、产业培育、基础设施、配套服务、要素保障等五方面深入基层调研，召开专家论证会议，反复征求意见建议，于2月18日印发了《邢台市支持食品加工产业隆起带发展若干措施》，共计5个方面18条支持措施。</w:t>
      </w:r>
      <w:r>
        <w:rPr>
          <w:rFonts w:hint="eastAsia" w:ascii="仿宋_GB2312" w:hAnsi="仿宋_GB2312" w:eastAsia="仿宋_GB2312" w:cs="仿宋_GB2312"/>
          <w:b/>
          <w:bCs/>
          <w:sz w:val="32"/>
          <w:szCs w:val="32"/>
          <w:highlight w:val="none"/>
          <w:lang w:val="en-US" w:eastAsia="zh-CN"/>
        </w:rPr>
        <w:t>三是</w:t>
      </w:r>
      <w:r>
        <w:rPr>
          <w:rFonts w:hint="eastAsia" w:ascii="仿宋_GB2312" w:hAnsi="仿宋_GB2312" w:eastAsia="仿宋_GB2312" w:cs="仿宋_GB2312"/>
          <w:sz w:val="32"/>
          <w:szCs w:val="32"/>
          <w:highlight w:val="none"/>
          <w:lang w:val="en-US" w:eastAsia="zh-CN"/>
        </w:rPr>
        <w:t>市食建办联合市科技局制定食品加工产业隆起带科技平台建设工作计划。计划明确在隆起带内32家现有食品加工产业科技创新平台基础上，持续推动各类创新平台数量增长、质量提升、结构优化，重点围绕食品加工产业链打造高标准技术创新中心、产业技术研究院等科技创新平台，聚集和培养高层次人才团队，开展关键共性技术研究，提升食品加工产业创新能力和影响力。</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right="0" w:rightChars="0" w:firstLine="640" w:firstLineChars="200"/>
        <w:jc w:val="left"/>
        <w:textAlignment w:val="baseline"/>
        <w:rPr>
          <w:rFonts w:hint="eastAsia" w:ascii="黑体" w:hAnsi="黑体" w:eastAsia="黑体" w:cs="黑体"/>
          <w:spacing w:val="0"/>
          <w:w w:val="100"/>
          <w:position w:val="0"/>
          <w:sz w:val="32"/>
          <w:szCs w:val="32"/>
          <w:highlight w:val="none"/>
          <w:lang w:eastAsia="zh-CN"/>
        </w:rPr>
      </w:pPr>
      <w:r>
        <w:rPr>
          <w:rFonts w:hint="eastAsia" w:ascii="黑体" w:hAnsi="黑体" w:eastAsia="黑体" w:cs="黑体"/>
          <w:spacing w:val="0"/>
          <w:w w:val="100"/>
          <w:position w:val="0"/>
          <w:sz w:val="32"/>
          <w:szCs w:val="32"/>
          <w:highlight w:val="none"/>
          <w:lang w:eastAsia="zh-CN"/>
        </w:rPr>
        <w:t>关于提升</w:t>
      </w:r>
      <w:r>
        <w:rPr>
          <w:rFonts w:hint="eastAsia" w:ascii="黑体" w:hAnsi="黑体" w:eastAsia="黑体" w:cs="黑体"/>
          <w:spacing w:val="0"/>
          <w:w w:val="100"/>
          <w:position w:val="0"/>
          <w:sz w:val="32"/>
          <w:szCs w:val="32"/>
          <w:highlight w:val="none"/>
          <w:lang w:val="en-US" w:eastAsia="zh-CN"/>
        </w:rPr>
        <w:t>“其他县”支撑促动能级</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right="0" w:rightChars="0" w:firstLine="691" w:firstLineChars="200"/>
        <w:jc w:val="left"/>
        <w:textAlignment w:val="baseline"/>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pacing w:val="12"/>
          <w:kern w:val="2"/>
          <w:sz w:val="32"/>
          <w:szCs w:val="32"/>
          <w:highlight w:val="none"/>
          <w:lang w:val="en-US" w:eastAsia="zh-CN" w:bidi="ar-SA"/>
        </w:rPr>
        <w:t>一是</w:t>
      </w:r>
      <w:r>
        <w:rPr>
          <w:rFonts w:hint="eastAsia" w:ascii="仿宋_GB2312" w:hAnsi="仿宋_GB2312" w:eastAsia="仿宋_GB2312" w:cs="仿宋_GB2312"/>
          <w:spacing w:val="12"/>
          <w:kern w:val="2"/>
          <w:sz w:val="32"/>
          <w:szCs w:val="32"/>
          <w:highlight w:val="none"/>
          <w:lang w:val="en-US" w:eastAsia="zh-CN" w:bidi="ar-SA"/>
        </w:rPr>
        <w:t>在隆起带规划建设工作中，坚持一二三产融合发展。</w:t>
      </w:r>
      <w:r>
        <w:rPr>
          <w:rFonts w:hint="eastAsia" w:ascii="仿宋_GB2312" w:hAnsi="仿宋_GB2312" w:eastAsia="仿宋_GB2312" w:cs="仿宋_GB2312"/>
          <w:spacing w:val="0"/>
          <w:w w:val="100"/>
          <w:kern w:val="2"/>
          <w:position w:val="0"/>
          <w:sz w:val="32"/>
          <w:szCs w:val="32"/>
          <w:highlight w:val="none"/>
          <w:lang w:val="en-US" w:eastAsia="zh-CN" w:bidi="ar-SA"/>
        </w:rPr>
        <w:t>不断深耕细分领域、拉长产业链条，有效实现全环节提升、全链条增值、全产业融合。</w:t>
      </w:r>
      <w:r>
        <w:rPr>
          <w:rFonts w:hint="eastAsia" w:ascii="仿宋_GB2312" w:hAnsi="仿宋_GB2312" w:eastAsia="仿宋_GB2312" w:cs="仿宋_GB2312"/>
          <w:kern w:val="2"/>
          <w:sz w:val="32"/>
          <w:szCs w:val="32"/>
          <w:highlight w:val="none"/>
          <w:lang w:val="en-US" w:eastAsia="zh-CN" w:bidi="ar-SA"/>
        </w:rPr>
        <w:t>市食建办谋划第二批食品加工产业项目163个。从项目分类看，产业项目121个，基础设施项目5个，配套服务项目37个。</w:t>
      </w:r>
      <w:r>
        <w:rPr>
          <w:rFonts w:hint="eastAsia" w:ascii="仿宋_GB2312" w:hAnsi="仿宋_GB2312" w:eastAsia="仿宋_GB2312" w:cs="仿宋_GB2312"/>
          <w:b/>
          <w:bCs/>
          <w:spacing w:val="12"/>
          <w:kern w:val="2"/>
          <w:sz w:val="32"/>
          <w:szCs w:val="32"/>
          <w:highlight w:val="none"/>
          <w:lang w:val="en-US" w:eastAsia="zh-CN" w:bidi="ar-SA"/>
        </w:rPr>
        <w:t>二是</w:t>
      </w:r>
      <w:r>
        <w:rPr>
          <w:rFonts w:hint="eastAsia" w:ascii="仿宋_GB2312" w:hAnsi="仿宋_GB2312" w:eastAsia="仿宋_GB2312" w:cs="仿宋_GB2312"/>
          <w:spacing w:val="12"/>
          <w:kern w:val="2"/>
          <w:sz w:val="32"/>
          <w:szCs w:val="32"/>
          <w:highlight w:val="none"/>
          <w:lang w:val="en-US" w:eastAsia="zh-CN" w:bidi="ar-SA"/>
        </w:rPr>
        <w:t>坚持项目为王，把抓项目建设贯穿隆起带发展始终。</w:t>
      </w:r>
      <w:r>
        <w:rPr>
          <w:rFonts w:hint="eastAsia" w:ascii="仿宋_GB2312" w:hAnsi="仿宋_GB2312" w:eastAsia="仿宋_GB2312" w:cs="仿宋_GB2312"/>
          <w:spacing w:val="0"/>
          <w:w w:val="100"/>
          <w:kern w:val="2"/>
          <w:position w:val="0"/>
          <w:sz w:val="32"/>
          <w:szCs w:val="32"/>
          <w:highlight w:val="none"/>
          <w:lang w:val="en-US" w:eastAsia="zh-CN" w:bidi="ar-SA"/>
        </w:rPr>
        <w:t>截至2023年底，全市共有食品加工企业1116家，其中规上企业112家，年产值预计900亿元；隆起带内6个县市区食品加工企业969家，其中规上企业74家，年产值预计823亿元。</w:t>
      </w:r>
      <w:r>
        <w:rPr>
          <w:rFonts w:hint="eastAsia" w:ascii="仿宋_GB2312" w:hAnsi="仿宋_GB2312" w:eastAsia="仿宋_GB2312" w:cs="仿宋_GB2312"/>
          <w:spacing w:val="0"/>
          <w:w w:val="100"/>
          <w:position w:val="0"/>
          <w:sz w:val="32"/>
          <w:szCs w:val="32"/>
          <w:highlight w:val="none"/>
          <w:lang w:val="en-US" w:eastAsia="zh-CN"/>
        </w:rPr>
        <w:t>邢台市农业资源禀赋优越，拥有8个省级粮食生产核心县，</w:t>
      </w:r>
      <w:r>
        <w:rPr>
          <w:rFonts w:hint="eastAsia" w:ascii="仿宋_GB2312" w:hAnsi="仿宋_GB2312" w:eastAsia="仿宋_GB2312" w:cs="仿宋_GB2312"/>
          <w:spacing w:val="0"/>
          <w:w w:val="100"/>
          <w:kern w:val="2"/>
          <w:position w:val="0"/>
          <w:sz w:val="32"/>
          <w:szCs w:val="32"/>
          <w:highlight w:val="none"/>
          <w:lang w:val="en-US" w:eastAsia="zh-CN" w:bidi="ar-SA"/>
        </w:rPr>
        <w:t>在隆起带建设的基础上，进一步做大其他县区的特色农业生产基础优势，按照“龙头做强、规模做大、链条延长、要素聚集”的要求，强力推进项目落地达产见效。</w:t>
      </w:r>
      <w:r>
        <w:rPr>
          <w:rFonts w:hint="eastAsia" w:ascii="仿宋_GB2312" w:hAnsi="仿宋_GB2312" w:eastAsia="仿宋_GB2312" w:cs="仿宋_GB2312"/>
          <w:b/>
          <w:bCs/>
          <w:spacing w:val="12"/>
          <w:kern w:val="2"/>
          <w:sz w:val="32"/>
          <w:szCs w:val="32"/>
          <w:highlight w:val="none"/>
          <w:lang w:val="en-US" w:eastAsia="zh-CN" w:bidi="ar-SA"/>
        </w:rPr>
        <w:t>三是</w:t>
      </w:r>
      <w:r>
        <w:rPr>
          <w:rFonts w:hint="eastAsia" w:ascii="仿宋_GB2312" w:hAnsi="仿宋_GB2312" w:eastAsia="仿宋_GB2312" w:cs="仿宋_GB2312"/>
          <w:spacing w:val="12"/>
          <w:kern w:val="2"/>
          <w:sz w:val="32"/>
          <w:szCs w:val="32"/>
          <w:highlight w:val="none"/>
          <w:lang w:val="en-US" w:eastAsia="zh-CN" w:bidi="ar-SA"/>
        </w:rPr>
        <w:t>市食建办联合市科技局制定食品加工产业隆起带科技平台建设工作计划。</w:t>
      </w:r>
      <w:r>
        <w:rPr>
          <w:rFonts w:hint="eastAsia" w:ascii="仿宋_GB2312" w:hAnsi="仿宋_GB2312" w:eastAsia="仿宋_GB2312" w:cs="仿宋_GB2312"/>
          <w:sz w:val="32"/>
          <w:szCs w:val="32"/>
          <w:highlight w:val="none"/>
          <w:lang w:val="en-US" w:eastAsia="zh-CN"/>
        </w:rPr>
        <w:t>计划明确在隆起带内32家现有食品加工产业科技创新平台基础上，持续推动各类创新平台数量增长、质量提升、结构优化，重点围绕食品加工产业链打造高标准技术创新中心、产业技术研究院等科技创新平台，聚集和培养高层次人才团队，开展关键共性技术研究，提升食品加工产业创新能力和影响力。</w:t>
      </w:r>
    </w:p>
    <w:p>
      <w:pPr>
        <w:pStyle w:val="8"/>
        <w:keepNext w:val="0"/>
        <w:keepLines w:val="0"/>
        <w:pageBreakBefore w:val="0"/>
        <w:widowControl/>
        <w:numPr>
          <w:ilvl w:val="0"/>
          <w:numId w:val="1"/>
        </w:numPr>
        <w:suppressLineNumbers w:val="0"/>
        <w:wordWrap/>
        <w:overflowPunct/>
        <w:topLinePunct w:val="0"/>
        <w:bidi w:val="0"/>
        <w:spacing w:line="560" w:lineRule="exact"/>
        <w:ind w:left="0" w:leftChars="0" w:firstLine="640" w:firstLineChars="200"/>
        <w:jc w:val="left"/>
        <w:rPr>
          <w:rFonts w:hint="eastAsia" w:ascii="黑体" w:hAnsi="黑体" w:eastAsia="黑体" w:cs="黑体"/>
          <w:spacing w:val="0"/>
          <w:w w:val="100"/>
          <w:position w:val="0"/>
          <w:sz w:val="32"/>
          <w:szCs w:val="32"/>
          <w:highlight w:val="none"/>
          <w:lang w:eastAsia="zh-CN"/>
        </w:rPr>
      </w:pPr>
      <w:r>
        <w:rPr>
          <w:rFonts w:hint="eastAsia" w:ascii="黑体" w:hAnsi="黑体" w:eastAsia="黑体" w:cs="黑体"/>
          <w:spacing w:val="0"/>
          <w:w w:val="100"/>
          <w:position w:val="0"/>
          <w:sz w:val="32"/>
          <w:szCs w:val="32"/>
          <w:highlight w:val="none"/>
          <w:lang w:eastAsia="zh-CN"/>
        </w:rPr>
        <w:t>关于构建“一盘棋”产业发展格局</w:t>
      </w:r>
    </w:p>
    <w:p>
      <w:pPr>
        <w:pStyle w:val="8"/>
        <w:keepNext w:val="0"/>
        <w:keepLines w:val="0"/>
        <w:pageBreakBefore w:val="0"/>
        <w:widowControl/>
        <w:numPr>
          <w:ilvl w:val="0"/>
          <w:numId w:val="0"/>
        </w:numPr>
        <w:suppressLineNumbers w:val="0"/>
        <w:wordWrap/>
        <w:overflowPunct/>
        <w:topLinePunct w:val="0"/>
        <w:bidi w:val="0"/>
        <w:spacing w:line="560" w:lineRule="exact"/>
        <w:ind w:leftChars="0" w:firstLine="643" w:firstLineChars="200"/>
        <w:jc w:val="left"/>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b/>
          <w:bCs/>
          <w:kern w:val="2"/>
          <w:sz w:val="32"/>
          <w:szCs w:val="32"/>
          <w:highlight w:val="none"/>
          <w:lang w:val="en-US" w:eastAsia="zh-CN" w:bidi="ar-SA"/>
        </w:rPr>
        <w:t>一是</w:t>
      </w:r>
      <w:r>
        <w:rPr>
          <w:rFonts w:hint="eastAsia" w:ascii="仿宋_GB2312" w:hAnsi="仿宋_GB2312" w:eastAsia="仿宋_GB2312" w:cs="仿宋_GB2312"/>
          <w:kern w:val="2"/>
          <w:sz w:val="32"/>
          <w:szCs w:val="32"/>
          <w:highlight w:val="none"/>
          <w:lang w:val="en-US" w:eastAsia="zh-CN" w:bidi="ar-SA"/>
        </w:rPr>
        <w:t>建立协调联动机制。</w:t>
      </w:r>
      <w:r>
        <w:rPr>
          <w:rFonts w:hint="eastAsia" w:ascii="仿宋_GB2312" w:hAnsi="仿宋_GB2312" w:eastAsia="仿宋_GB2312" w:cs="仿宋_GB2312"/>
          <w:spacing w:val="12"/>
          <w:kern w:val="2"/>
          <w:sz w:val="32"/>
          <w:szCs w:val="32"/>
          <w:highlight w:val="none"/>
          <w:lang w:val="en-US" w:eastAsia="zh-CN" w:bidi="ar-SA"/>
        </w:rPr>
        <w:t>建立市级领导小组月调度制度，定期听取6个县市区工作进展情况，推进工作，解决问题；建立市级领导包县联园现场办公制度，明确5名市级领导各自分包一个园区，每个月至少到园区现场办公一次；建立食建领导小组成员单位包联制度，明确了市发改、工信、自规、农业等11个市直成员单位包联关系；建立县级领导“三个一”包联制度，做到一个项目一个县级领导，一个责任单位，一个具体负责人，确保机制高效便捷，任务责任具体到单位到人。</w:t>
      </w:r>
      <w:r>
        <w:rPr>
          <w:rFonts w:hint="eastAsia" w:ascii="仿宋_GB2312" w:hAnsi="仿宋_GB2312" w:eastAsia="仿宋_GB2312" w:cs="仿宋_GB2312"/>
          <w:b/>
          <w:bCs/>
          <w:kern w:val="2"/>
          <w:sz w:val="32"/>
          <w:szCs w:val="32"/>
          <w:highlight w:val="none"/>
          <w:lang w:val="en-US" w:eastAsia="zh-CN" w:bidi="ar-SA"/>
        </w:rPr>
        <w:t>二是</w:t>
      </w:r>
      <w:r>
        <w:rPr>
          <w:rFonts w:hint="eastAsia" w:ascii="仿宋_GB2312" w:hAnsi="仿宋_GB2312" w:eastAsia="仿宋_GB2312" w:cs="仿宋_GB2312"/>
          <w:kern w:val="2"/>
          <w:sz w:val="32"/>
          <w:szCs w:val="32"/>
          <w:highlight w:val="none"/>
          <w:lang w:val="en-US" w:eastAsia="zh-CN" w:bidi="ar-SA"/>
        </w:rPr>
        <w:t>加强项目跟踪调度。</w:t>
      </w:r>
      <w:r>
        <w:rPr>
          <w:rFonts w:hint="eastAsia" w:ascii="仿宋_GB2312" w:hAnsi="仿宋_GB2312" w:eastAsia="仿宋_GB2312" w:cs="仿宋_GB2312"/>
          <w:spacing w:val="12"/>
          <w:kern w:val="2"/>
          <w:sz w:val="32"/>
          <w:szCs w:val="32"/>
          <w:highlight w:val="none"/>
          <w:lang w:val="en-US" w:eastAsia="zh-CN" w:bidi="ar-SA"/>
        </w:rPr>
        <w:t>市食建办定期调度项目进展、投资进度以及谋划项目开工情况，加强项目清单管理，每月通报一次项目进度。</w:t>
      </w:r>
      <w:r>
        <w:rPr>
          <w:rFonts w:hint="eastAsia" w:ascii="仿宋_GB2312" w:hAnsi="仿宋_GB2312" w:eastAsia="仿宋_GB2312" w:cs="仿宋_GB2312"/>
          <w:b/>
          <w:bCs/>
          <w:kern w:val="2"/>
          <w:sz w:val="32"/>
          <w:szCs w:val="32"/>
          <w:highlight w:val="none"/>
          <w:lang w:val="en-US" w:eastAsia="zh-CN" w:bidi="ar-SA"/>
        </w:rPr>
        <w:t>三是</w:t>
      </w:r>
      <w:r>
        <w:rPr>
          <w:rFonts w:hint="eastAsia" w:ascii="仿宋_GB2312" w:hAnsi="仿宋_GB2312" w:eastAsia="仿宋_GB2312" w:cs="仿宋_GB2312"/>
          <w:kern w:val="2"/>
          <w:sz w:val="32"/>
          <w:szCs w:val="32"/>
          <w:highlight w:val="none"/>
          <w:lang w:val="en-US" w:eastAsia="zh-CN" w:bidi="ar-SA"/>
        </w:rPr>
        <w:t>市食建办联合河北日报邢台分社启动“打造千亿级食品加工产业隆起带系列宣传活动”。活动依托河北日报报业集团“1+5+N”全媒体传播矩阵，全面宣传我市打造千亿级食品加工产业隆起带</w:t>
      </w:r>
      <w:r>
        <w:rPr>
          <w:rFonts w:hint="eastAsia" w:ascii="仿宋_GB2312" w:hAnsi="仿宋_GB2312" w:eastAsia="仿宋_GB2312" w:cs="仿宋_GB2312"/>
          <w:sz w:val="32"/>
          <w:szCs w:val="32"/>
          <w:highlight w:val="none"/>
          <w:lang w:val="en-US" w:eastAsia="zh-CN"/>
        </w:rPr>
        <w:t>的思路举措、亮点成效。4月17日宁晋县</w:t>
      </w:r>
      <w:r>
        <w:rPr>
          <w:rFonts w:hint="eastAsia" w:ascii="仿宋_GB2312" w:hAnsi="仿宋_GB2312" w:eastAsia="仿宋_GB2312" w:cs="仿宋_GB2312"/>
          <w:sz w:val="32"/>
          <w:szCs w:val="32"/>
          <w:highlight w:val="none"/>
          <w:lang w:val="en" w:eastAsia="zh-CN"/>
        </w:rPr>
        <w:t>专刊</w:t>
      </w:r>
      <w:r>
        <w:rPr>
          <w:rFonts w:hint="eastAsia" w:ascii="仿宋_GB2312" w:hAnsi="仿宋_GB2312" w:eastAsia="仿宋_GB2312" w:cs="仿宋_GB2312"/>
          <w:sz w:val="32"/>
          <w:szCs w:val="32"/>
          <w:highlight w:val="none"/>
          <w:lang w:val="en-US" w:eastAsia="zh-CN"/>
        </w:rPr>
        <w:t>已在《河北日报》地方新闻版、《河北日报》公共版、河北日报客户端、河北新闻网刊发。其他县市区</w:t>
      </w:r>
      <w:r>
        <w:rPr>
          <w:rFonts w:hint="eastAsia" w:ascii="仿宋_GB2312" w:hAnsi="仿宋_GB2312" w:eastAsia="仿宋_GB2312" w:cs="仿宋_GB2312"/>
          <w:sz w:val="32"/>
          <w:szCs w:val="32"/>
          <w:highlight w:val="none"/>
          <w:lang w:val="en" w:eastAsia="zh-CN"/>
        </w:rPr>
        <w:t>专刊近期</w:t>
      </w:r>
      <w:r>
        <w:rPr>
          <w:rFonts w:hint="eastAsia" w:ascii="仿宋_GB2312" w:hAnsi="仿宋_GB2312" w:eastAsia="仿宋_GB2312" w:cs="仿宋_GB2312"/>
          <w:sz w:val="32"/>
          <w:szCs w:val="32"/>
          <w:highlight w:val="none"/>
          <w:lang w:val="en-US" w:eastAsia="zh-CN"/>
        </w:rPr>
        <w:t>将陆续刊发，营造出我市共建食品加工产业隆起带的浓厚氛围。</w:t>
      </w:r>
    </w:p>
    <w:p>
      <w:pPr>
        <w:pStyle w:val="2"/>
        <w:keepNext w:val="0"/>
        <w:keepLines w:val="0"/>
        <w:pageBreakBefore w:val="0"/>
        <w:widowControl w:val="0"/>
        <w:kinsoku/>
        <w:wordWrap/>
        <w:overflowPunct/>
        <w:topLinePunct w:val="0"/>
        <w:autoSpaceDE/>
        <w:autoSpaceDN/>
        <w:bidi w:val="0"/>
        <w:adjustRightInd/>
        <w:spacing w:line="560" w:lineRule="exact"/>
        <w:ind w:left="0" w:leftChars="0"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感谢您对农业农村工作的关心和支持！</w:t>
      </w:r>
    </w:p>
    <w:p>
      <w:pPr>
        <w:pStyle w:val="2"/>
        <w:keepNext w:val="0"/>
        <w:keepLines w:val="0"/>
        <w:pageBreakBefore w:val="0"/>
        <w:wordWrap/>
        <w:overflowPunct/>
        <w:topLinePunct w:val="0"/>
        <w:bidi w:val="0"/>
        <w:spacing w:line="560" w:lineRule="exact"/>
        <w:ind w:left="0" w:leftChars="0" w:firstLine="360" w:firstLineChars="200"/>
        <w:jc w:val="left"/>
        <w:rPr>
          <w:rFonts w:hint="eastAsia"/>
          <w:highlight w:val="none"/>
          <w:lang w:eastAsia="zh-CN"/>
        </w:rPr>
      </w:pPr>
    </w:p>
    <w:p>
      <w:pPr>
        <w:pStyle w:val="3"/>
        <w:keepNext w:val="0"/>
        <w:keepLines w:val="0"/>
        <w:pageBreakBefore w:val="0"/>
        <w:wordWrap/>
        <w:overflowPunct/>
        <w:topLinePunct w:val="0"/>
        <w:bidi w:val="0"/>
        <w:spacing w:after="0" w:line="560" w:lineRule="exact"/>
        <w:ind w:left="0" w:leftChars="0" w:firstLine="420" w:firstLineChars="200"/>
        <w:jc w:val="left"/>
        <w:rPr>
          <w:rFonts w:hint="eastAsia"/>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5120" w:firstLineChars="1600"/>
        <w:jc w:val="left"/>
        <w:textAlignment w:val="baseline"/>
        <w:rPr>
          <w:rFonts w:hint="eastAsia" w:ascii="仿宋_GB2312" w:hAnsi="仿宋_GB2312" w:eastAsia="仿宋_GB2312" w:cs="仿宋_GB2312"/>
          <w:spacing w:val="0"/>
          <w:w w:val="100"/>
          <w:position w:val="0"/>
          <w:sz w:val="32"/>
          <w:szCs w:val="32"/>
          <w:highlight w:val="none"/>
          <w:lang w:eastAsia="zh-CN"/>
        </w:rPr>
      </w:pPr>
      <w:r>
        <w:rPr>
          <w:rFonts w:hint="eastAsia" w:ascii="仿宋_GB2312" w:hAnsi="仿宋_GB2312" w:eastAsia="仿宋_GB2312" w:cs="仿宋_GB2312"/>
          <w:spacing w:val="0"/>
          <w:w w:val="100"/>
          <w:position w:val="0"/>
          <w:sz w:val="32"/>
          <w:szCs w:val="32"/>
          <w:highlight w:val="none"/>
          <w:lang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5440" w:firstLineChars="1700"/>
        <w:jc w:val="left"/>
        <w:textAlignment w:val="baseline"/>
        <w:rPr>
          <w:rFonts w:hint="eastAsia" w:ascii="仿宋_GB2312" w:hAnsi="仿宋_GB2312" w:eastAsia="仿宋_GB2312" w:cs="仿宋_GB2312"/>
          <w:spacing w:val="0"/>
          <w:w w:val="100"/>
          <w:position w:val="0"/>
          <w:sz w:val="32"/>
          <w:szCs w:val="32"/>
          <w:highlight w:val="none"/>
        </w:rPr>
      </w:pPr>
      <w:r>
        <w:rPr>
          <w:rFonts w:hint="eastAsia" w:ascii="仿宋_GB2312" w:hAnsi="仿宋_GB2312" w:eastAsia="仿宋_GB2312" w:cs="仿宋_GB2312"/>
          <w:spacing w:val="0"/>
          <w:w w:val="100"/>
          <w:position w:val="0"/>
          <w:sz w:val="32"/>
          <w:szCs w:val="32"/>
          <w:highlight w:val="none"/>
          <w:lang w:eastAsia="zh-CN"/>
        </w:rPr>
        <w:t>202</w:t>
      </w:r>
      <w:r>
        <w:rPr>
          <w:rFonts w:hint="eastAsia" w:ascii="仿宋_GB2312" w:hAnsi="仿宋_GB2312" w:eastAsia="仿宋_GB2312" w:cs="仿宋_GB2312"/>
          <w:spacing w:val="0"/>
          <w:w w:val="100"/>
          <w:position w:val="0"/>
          <w:sz w:val="32"/>
          <w:szCs w:val="32"/>
          <w:highlight w:val="none"/>
          <w:lang w:val="en-US" w:eastAsia="zh-CN"/>
        </w:rPr>
        <w:t>4</w:t>
      </w:r>
      <w:r>
        <w:rPr>
          <w:rFonts w:hint="eastAsia" w:ascii="仿宋_GB2312" w:hAnsi="仿宋_GB2312" w:eastAsia="仿宋_GB2312" w:cs="仿宋_GB2312"/>
          <w:spacing w:val="0"/>
          <w:w w:val="100"/>
          <w:position w:val="0"/>
          <w:sz w:val="32"/>
          <w:szCs w:val="32"/>
          <w:highlight w:val="none"/>
          <w:lang w:eastAsia="zh-CN"/>
        </w:rPr>
        <w:t>年5月</w:t>
      </w:r>
      <w:r>
        <w:rPr>
          <w:rFonts w:hint="eastAsia" w:ascii="仿宋_GB2312" w:hAnsi="仿宋_GB2312" w:eastAsia="仿宋_GB2312" w:cs="仿宋_GB2312"/>
          <w:spacing w:val="0"/>
          <w:w w:val="100"/>
          <w:position w:val="0"/>
          <w:sz w:val="32"/>
          <w:szCs w:val="32"/>
          <w:highlight w:val="none"/>
          <w:lang w:val="en-US" w:eastAsia="zh-CN"/>
        </w:rPr>
        <w:t>30</w:t>
      </w:r>
      <w:r>
        <w:rPr>
          <w:rFonts w:hint="eastAsia" w:ascii="仿宋_GB2312" w:hAnsi="仿宋_GB2312" w:eastAsia="仿宋_GB2312" w:cs="仿宋_GB2312"/>
          <w:spacing w:val="0"/>
          <w:w w:val="100"/>
          <w:position w:val="0"/>
          <w:sz w:val="32"/>
          <w:szCs w:val="32"/>
          <w:highlight w:val="none"/>
          <w:lang w:eastAsia="zh-CN"/>
        </w:rPr>
        <w:t>日</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p>
    <w:p>
      <w:pPr>
        <w:pStyle w:val="2"/>
        <w:rPr>
          <w:rFonts w:hint="eastAsia" w:ascii="仿宋_GB2312" w:hAnsi="仿宋_GB2312" w:eastAsia="仿宋_GB2312" w:cs="仿宋_GB2312"/>
          <w:spacing w:val="0"/>
          <w:w w:val="100"/>
          <w:position w:val="0"/>
          <w:sz w:val="32"/>
          <w:szCs w:val="32"/>
        </w:rPr>
      </w:pPr>
    </w:p>
    <w:p>
      <w:pPr>
        <w:pStyle w:val="2"/>
        <w:rPr>
          <w:rFonts w:hint="eastAsia" w:ascii="仿宋_GB2312" w:hAnsi="仿宋_GB2312" w:eastAsia="仿宋_GB2312" w:cs="仿宋_GB2312"/>
          <w:spacing w:val="0"/>
          <w:w w:val="100"/>
          <w:position w:val="0"/>
          <w:sz w:val="32"/>
          <w:szCs w:val="32"/>
        </w:rPr>
      </w:pPr>
    </w:p>
    <w:p>
      <w:pPr>
        <w:pStyle w:val="2"/>
        <w:rPr>
          <w:rFonts w:hint="eastAsia" w:ascii="仿宋_GB2312" w:hAnsi="仿宋_GB2312" w:eastAsia="仿宋_GB2312" w:cs="仿宋_GB2312"/>
          <w:spacing w:val="0"/>
          <w:w w:val="100"/>
          <w:position w:val="0"/>
          <w:sz w:val="32"/>
          <w:szCs w:val="32"/>
        </w:rPr>
      </w:pPr>
    </w:p>
    <w:p>
      <w:pPr>
        <w:pStyle w:val="2"/>
        <w:rPr>
          <w:rFonts w:hint="eastAsia" w:ascii="仿宋_GB2312" w:hAnsi="仿宋_GB2312" w:eastAsia="仿宋_GB2312" w:cs="仿宋_GB2312"/>
          <w:spacing w:val="0"/>
          <w:w w:val="100"/>
          <w:position w:val="0"/>
          <w:sz w:val="32"/>
          <w:szCs w:val="32"/>
        </w:rPr>
      </w:pPr>
    </w:p>
    <w:p>
      <w:pPr>
        <w:pStyle w:val="2"/>
        <w:rPr>
          <w:rFonts w:hint="eastAsia" w:ascii="仿宋_GB2312" w:hAnsi="仿宋_GB2312" w:eastAsia="仿宋_GB2312" w:cs="仿宋_GB2312"/>
          <w:spacing w:val="0"/>
          <w:w w:val="100"/>
          <w:position w:val="0"/>
          <w:sz w:val="32"/>
          <w:szCs w:val="32"/>
        </w:rPr>
      </w:pPr>
    </w:p>
    <w:p>
      <w:pPr>
        <w:pStyle w:val="2"/>
        <w:rPr>
          <w:rFonts w:hint="eastAsia" w:ascii="仿宋_GB2312" w:hAnsi="仿宋_GB2312" w:eastAsia="仿宋_GB2312" w:cs="仿宋_GB2312"/>
          <w:spacing w:val="0"/>
          <w:w w:val="100"/>
          <w:position w:val="0"/>
          <w:sz w:val="32"/>
          <w:szCs w:val="32"/>
        </w:rPr>
      </w:pPr>
    </w:p>
    <w:p>
      <w:pPr>
        <w:pStyle w:val="2"/>
        <w:rPr>
          <w:rFonts w:hint="eastAsia" w:ascii="仿宋_GB2312" w:hAnsi="仿宋_GB2312" w:eastAsia="仿宋_GB2312" w:cs="仿宋_GB2312"/>
          <w:spacing w:val="0"/>
          <w:w w:val="100"/>
          <w:position w:val="0"/>
          <w:sz w:val="32"/>
          <w:szCs w:val="32"/>
        </w:rPr>
      </w:pPr>
    </w:p>
    <w:p>
      <w:pPr>
        <w:pStyle w:val="2"/>
        <w:rPr>
          <w:rFonts w:hint="eastAsia" w:ascii="仿宋_GB2312" w:hAnsi="仿宋_GB2312" w:eastAsia="仿宋_GB2312" w:cs="仿宋_GB2312"/>
          <w:spacing w:val="0"/>
          <w:w w:val="100"/>
          <w:position w:val="0"/>
          <w:sz w:val="32"/>
          <w:szCs w:val="32"/>
        </w:rPr>
      </w:pPr>
    </w:p>
    <w:p>
      <w:pPr>
        <w:pStyle w:val="2"/>
        <w:rPr>
          <w:rFonts w:hint="eastAsia" w:ascii="仿宋_GB2312" w:hAnsi="仿宋_GB2312" w:eastAsia="仿宋_GB2312" w:cs="仿宋_GB2312"/>
          <w:spacing w:val="0"/>
          <w:w w:val="100"/>
          <w:position w:val="0"/>
          <w:sz w:val="32"/>
          <w:szCs w:val="32"/>
        </w:rPr>
      </w:pPr>
    </w:p>
    <w:p>
      <w:pPr>
        <w:pStyle w:val="2"/>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lang w:eastAsia="zh-CN"/>
        </w:rPr>
      </w:pPr>
      <w:r>
        <w:rPr>
          <w:rFonts w:hint="eastAsia" w:ascii="仿宋_GB2312" w:hAnsi="仿宋_GB2312" w:eastAsia="仿宋_GB2312" w:cs="仿宋_GB2312"/>
          <w:spacing w:val="0"/>
          <w:w w:val="100"/>
          <w:position w:val="0"/>
          <w:sz w:val="32"/>
          <w:szCs w:val="32"/>
        </w:rPr>
        <w:t>领导签发：</w:t>
      </w:r>
      <w:r>
        <w:rPr>
          <w:rFonts w:hint="eastAsia" w:ascii="仿宋_GB2312" w:hAnsi="仿宋_GB2312" w:eastAsia="仿宋_GB2312" w:cs="仿宋_GB2312"/>
          <w:spacing w:val="0"/>
          <w:w w:val="100"/>
          <w:position w:val="0"/>
          <w:sz w:val="32"/>
          <w:szCs w:val="32"/>
          <w:lang w:eastAsia="zh-CN"/>
        </w:rPr>
        <w:t>邱海飚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default" w:ascii="仿宋_GB2312" w:hAnsi="仿宋_GB2312" w:eastAsia="仿宋_GB2312" w:cs="仿宋_GB2312"/>
          <w:spacing w:val="0"/>
          <w:w w:val="100"/>
          <w:position w:val="0"/>
          <w:sz w:val="32"/>
          <w:szCs w:val="32"/>
          <w:highlight w:val="cyan"/>
          <w:lang w:val="en-US"/>
        </w:rPr>
      </w:pPr>
      <w:r>
        <w:rPr>
          <w:rFonts w:hint="eastAsia" w:ascii="仿宋_GB2312" w:hAnsi="仿宋_GB2312" w:eastAsia="仿宋_GB2312" w:cs="仿宋_GB2312"/>
          <w:spacing w:val="0"/>
          <w:w w:val="100"/>
          <w:position w:val="0"/>
          <w:sz w:val="32"/>
          <w:szCs w:val="32"/>
        </w:rPr>
        <w:t>联系人</w:t>
      </w:r>
      <w:r>
        <w:rPr>
          <w:rFonts w:hint="eastAsia" w:ascii="仿宋_GB2312" w:hAnsi="仿宋_GB2312" w:eastAsia="仿宋_GB2312" w:cs="仿宋_GB2312"/>
          <w:spacing w:val="0"/>
          <w:w w:val="100"/>
          <w:position w:val="0"/>
          <w:sz w:val="32"/>
          <w:szCs w:val="32"/>
          <w:highlight w:val="none"/>
        </w:rPr>
        <w:t>及电话：</w:t>
      </w:r>
      <w:r>
        <w:rPr>
          <w:rFonts w:hint="eastAsia" w:ascii="仿宋_GB2312" w:hAnsi="仿宋_GB2312" w:eastAsia="仿宋_GB2312" w:cs="仿宋_GB2312"/>
          <w:spacing w:val="0"/>
          <w:w w:val="100"/>
          <w:position w:val="0"/>
          <w:sz w:val="32"/>
          <w:szCs w:val="32"/>
          <w:highlight w:val="none"/>
          <w:lang w:eastAsia="zh-CN"/>
        </w:rPr>
        <w:t>宋玉梅</w:t>
      </w:r>
      <w:r>
        <w:rPr>
          <w:rFonts w:hint="eastAsia" w:ascii="仿宋_GB2312" w:hAnsi="仿宋_GB2312" w:eastAsia="仿宋_GB2312" w:cs="仿宋_GB2312"/>
          <w:spacing w:val="0"/>
          <w:w w:val="100"/>
          <w:position w:val="0"/>
          <w:sz w:val="32"/>
          <w:szCs w:val="32"/>
          <w:highlight w:val="none"/>
          <w:lang w:val="en-US" w:eastAsia="zh-CN"/>
        </w:rPr>
        <w:t xml:space="preserve">  3288879</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pPr>
      <w:r>
        <w:rPr>
          <w:rFonts w:hint="eastAsia" w:ascii="仿宋_GB2312" w:hAnsi="仿宋_GB2312" w:eastAsia="仿宋_GB2312" w:cs="仿宋_GB2312"/>
          <w:spacing w:val="0"/>
          <w:w w:val="100"/>
          <w:position w:val="0"/>
          <w:sz w:val="32"/>
          <w:szCs w:val="32"/>
        </w:rPr>
        <w:t>抄送：市政府办公室，市政协提案委员会。</w:t>
      </w:r>
    </w:p>
    <w:sectPr>
      <w:footerReference r:id="rId5"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D453A6"/>
    <w:multiLevelType w:val="singleLevel"/>
    <w:tmpl w:val="EDD453A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F62688"/>
    <w:rsid w:val="39EE38F1"/>
    <w:rsid w:val="3D2D143A"/>
    <w:rsid w:val="3DE16D88"/>
    <w:rsid w:val="47AF5AD1"/>
    <w:rsid w:val="4A740A5B"/>
    <w:rsid w:val="5787E43E"/>
    <w:rsid w:val="5A6E4C9D"/>
    <w:rsid w:val="5ABF27EC"/>
    <w:rsid w:val="5FCBC157"/>
    <w:rsid w:val="65F62688"/>
    <w:rsid w:val="6FD6A811"/>
    <w:rsid w:val="774BB46F"/>
    <w:rsid w:val="7EFEE455"/>
    <w:rsid w:val="7F2E3046"/>
    <w:rsid w:val="7FDF9B85"/>
    <w:rsid w:val="B5FAC1D6"/>
    <w:rsid w:val="B7AD4331"/>
    <w:rsid w:val="E6A77025"/>
    <w:rsid w:val="E7BD6D40"/>
    <w:rsid w:val="EF5FB867"/>
    <w:rsid w:val="EFFF49A7"/>
    <w:rsid w:val="F47F7BAF"/>
    <w:rsid w:val="FD2F2135"/>
    <w:rsid w:val="FE07C9DD"/>
    <w:rsid w:val="FF9F282A"/>
    <w:rsid w:val="FFDCE707"/>
    <w:rsid w:val="FFF91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Indent"/>
    <w:basedOn w:val="1"/>
    <w:next w:val="4"/>
    <w:qFormat/>
    <w:uiPriority w:val="99"/>
    <w:pPr>
      <w:spacing w:after="120"/>
      <w:ind w:left="420"/>
    </w:pPr>
  </w:style>
  <w:style w:type="paragraph" w:styleId="4">
    <w:name w:val="Plain Text"/>
    <w:basedOn w:val="1"/>
    <w:qFormat/>
    <w:uiPriority w:val="0"/>
    <w:rPr>
      <w:rFonts w:ascii="宋体" w:hAnsi="Courier New"/>
    </w:rPr>
  </w:style>
  <w:style w:type="paragraph" w:styleId="5">
    <w:name w:val="toa heading"/>
    <w:basedOn w:val="1"/>
    <w:next w:val="1"/>
    <w:qFormat/>
    <w:uiPriority w:val="0"/>
    <w:pPr>
      <w:spacing w:before="120"/>
    </w:pPr>
    <w:rPr>
      <w:rFonts w:ascii="Arial" w:hAnsi="Arial"/>
      <w:sz w:val="24"/>
    </w:rPr>
  </w:style>
  <w:style w:type="paragraph" w:styleId="6">
    <w:name w:val="Body Text Indent"/>
    <w:basedOn w:val="1"/>
    <w:next w:val="1"/>
    <w:qFormat/>
    <w:uiPriority w:val="0"/>
    <w:pPr>
      <w:snapToGrid w:val="0"/>
      <w:spacing w:line="480" w:lineRule="exact"/>
      <w:ind w:right="-45" w:firstLine="480"/>
    </w:pPr>
    <w:rPr>
      <w:rFonts w:ascii="楷体_GB2312" w:eastAsia="楷体_GB2312"/>
      <w:spacing w:val="12"/>
      <w:sz w:val="24"/>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6"/>
    <w:next w:val="1"/>
    <w:qFormat/>
    <w:uiPriority w:val="0"/>
    <w:pPr>
      <w:ind w:left="420" w:leftChars="200" w:firstLine="420" w:firstLineChars="200"/>
    </w:pPr>
    <w:rPr>
      <w:rFonts w:ascii="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2023-05-26T08:42:00Z</dcterms:created>
  <dc:creator>风雨兼程</dc:creator>
  <cp:lastModifiedBy>ncj</cp:lastModifiedBy>
  <dcterms:modified xsi:type="dcterms:W3CDTF">2024-06-07T13:27:56Z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B49CF994E5901EE446393B66F83B37BD</vt:lpwstr>
  </property>
</Properties>
</file>