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是否同意公开：</w:t>
      </w:r>
      <w:r>
        <w:rPr>
          <w:rFonts w:hint="eastAsia" w:ascii="仿宋_GB2312" w:hAnsi="仿宋_GB2312" w:eastAsia="仿宋_GB2312" w:cs="仿宋_GB2312"/>
          <w:b w:val="0"/>
          <w:bCs w:val="0"/>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办理结果：</w:t>
      </w:r>
      <w:r>
        <w:rPr>
          <w:rFonts w:hint="eastAsia" w:ascii="仿宋_GB2312" w:hAnsi="仿宋_GB2312" w:eastAsia="仿宋_GB2312" w:cs="仿宋_GB2312"/>
          <w:b w:val="0"/>
          <w:bCs w:val="0"/>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80" w:lineRule="exact"/>
        <w:ind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邢农提案字〔2024〕33</w:t>
      </w:r>
      <w:bookmarkStart w:id="0" w:name="_GoBack"/>
      <w:bookmarkEnd w:id="0"/>
      <w:r>
        <w:rPr>
          <w:rFonts w:hint="eastAsia" w:ascii="仿宋_GB2312" w:hAnsi="仿宋_GB2312" w:eastAsia="仿宋_GB2312" w:cs="仿宋_GB2312"/>
          <w:spacing w:val="0"/>
          <w:w w:val="100"/>
          <w:position w:val="0"/>
          <w:sz w:val="32"/>
          <w:szCs w:val="32"/>
          <w:lang w:val="en-US" w:eastAsia="zh-CN"/>
        </w:rPr>
        <w:t>号</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479</w:t>
      </w:r>
      <w:r>
        <w:rPr>
          <w:rFonts w:hint="eastAsia" w:ascii="方正小标宋简体" w:hAnsi="方正小标宋简体" w:eastAsia="方正小标宋简体" w:cs="方正小标宋简体"/>
          <w:b w:val="0"/>
          <w:bCs w:val="0"/>
          <w:spacing w:val="0"/>
          <w:w w:val="100"/>
          <w:position w:val="0"/>
          <w:sz w:val="44"/>
          <w:szCs w:val="44"/>
        </w:rPr>
        <w:t>号提案的答复</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0" w:firstLineChars="0"/>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民进邢台市委：</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你们提出的关于“加快农文旅融合发展 为乡村振兴注入活力”的提案收悉。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rPr>
          <w:rFonts w:hint="eastAsia" w:ascii="仿宋_GB2312" w:hAnsi="仿宋_GB2312" w:eastAsia="仿宋_GB2312" w:cs="仿宋_GB2312"/>
          <w:sz w:val="32"/>
          <w:szCs w:val="32"/>
          <w:lang w:eastAsia="zh-CN"/>
        </w:rPr>
        <w:sectPr>
          <w:pgSz w:w="11906" w:h="16838"/>
          <w:pgMar w:top="2154" w:right="1531" w:bottom="1984" w:left="1531" w:header="851" w:footer="1701" w:gutter="0"/>
          <w:pgNumType w:fmt="numberInDash"/>
          <w:cols w:space="720" w:num="1"/>
          <w:docGrid w:type="lines" w:linePitch="312" w:charSpace="0"/>
        </w:sectPr>
      </w:pPr>
      <w:r>
        <w:rPr>
          <w:rFonts w:hint="eastAsia" w:ascii="仿宋_GB2312" w:hAnsi="仿宋_GB2312" w:eastAsia="仿宋_GB2312" w:cs="仿宋_GB2312"/>
          <w:kern w:val="2"/>
          <w:sz w:val="32"/>
          <w:szCs w:val="32"/>
          <w:lang w:val="en-US" w:eastAsia="zh-CN" w:bidi="ar-SA"/>
        </w:rPr>
        <w:t>针对</w:t>
      </w:r>
      <w:r>
        <w:rPr>
          <w:rFonts w:hint="eastAsia" w:ascii="仿宋_GB2312" w:hAnsi="仿宋_GB2312" w:eastAsia="仿宋_GB2312" w:cs="仿宋_GB2312"/>
          <w:sz w:val="32"/>
          <w:szCs w:val="32"/>
          <w:lang w:val="en-US" w:eastAsia="zh-CN"/>
        </w:rPr>
        <w:t>民进邢台市委提出的“加快农文旅融合发展 为乡村振兴注入活力”，我局把休闲农业作为农业结构调整、促进农民增收的重要抓手，多措并举、强力推进，为乡村振兴注入了活力。</w:t>
      </w:r>
      <w:r>
        <w:rPr>
          <w:rFonts w:hint="eastAsia" w:ascii="仿宋_GB2312" w:hAnsi="仿宋_GB2312" w:eastAsia="仿宋_GB2312" w:cs="仿宋_GB2312"/>
          <w:sz w:val="32"/>
          <w:szCs w:val="32"/>
          <w:lang w:eastAsia="zh-CN"/>
        </w:rPr>
        <w:t>近年来，市农业农村局</w:t>
      </w:r>
      <w:r>
        <w:rPr>
          <w:rFonts w:hint="eastAsia" w:ascii="仿宋_GB2312" w:hAnsi="仿宋_GB2312" w:eastAsia="仿宋_GB2312" w:cs="仿宋_GB2312"/>
          <w:sz w:val="32"/>
          <w:szCs w:val="32"/>
        </w:rPr>
        <w:t>坚持</w:t>
      </w:r>
      <w:r>
        <w:rPr>
          <w:rFonts w:hint="eastAsia" w:ascii="仿宋_GB2312" w:hAnsi="仿宋_GB2312" w:eastAsia="仿宋_GB2312" w:cs="仿宋_GB2312"/>
          <w:sz w:val="32"/>
          <w:szCs w:val="32"/>
          <w:lang w:eastAsia="zh-CN"/>
        </w:rPr>
        <w:t>以农业为依托，突出</w:t>
      </w:r>
      <w:r>
        <w:rPr>
          <w:rFonts w:hint="eastAsia" w:ascii="仿宋_GB2312" w:hAnsi="仿宋_GB2312" w:eastAsia="仿宋_GB2312" w:cs="仿宋_GB2312"/>
          <w:sz w:val="32"/>
          <w:szCs w:val="32"/>
        </w:rPr>
        <w:t>特色化、差异化、多样化</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发展路径，</w:t>
      </w:r>
      <w:r>
        <w:rPr>
          <w:rFonts w:hint="eastAsia" w:ascii="仿宋_GB2312" w:hAnsi="仿宋_GB2312" w:eastAsia="仿宋_GB2312" w:cs="仿宋_GB2312"/>
          <w:color w:val="000000"/>
          <w:sz w:val="32"/>
          <w:szCs w:val="32"/>
        </w:rPr>
        <w:t>重点提升休闲农业紧密相关的特</w:t>
      </w:r>
      <w:r>
        <w:rPr>
          <w:rFonts w:hint="eastAsia" w:ascii="仿宋_GB2312" w:hAnsi="仿宋_GB2312" w:eastAsia="仿宋_GB2312" w:cs="仿宋_GB2312"/>
          <w:color w:val="000000"/>
          <w:sz w:val="32"/>
          <w:szCs w:val="32"/>
          <w:lang w:val="en-US" w:eastAsia="zh-CN"/>
        </w:rPr>
        <w:t>色果蔬</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中药材等产业</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打造一批</w:t>
      </w:r>
      <w:r>
        <w:rPr>
          <w:rFonts w:hint="eastAsia" w:ascii="仿宋_GB2312" w:hAnsi="仿宋_GB2312" w:eastAsia="仿宋_GB2312" w:cs="仿宋_GB2312"/>
          <w:color w:val="000000"/>
          <w:sz w:val="32"/>
          <w:szCs w:val="32"/>
        </w:rPr>
        <w:t>休闲农业</w:t>
      </w:r>
      <w:r>
        <w:rPr>
          <w:rFonts w:hint="eastAsia" w:ascii="仿宋_GB2312" w:hAnsi="仿宋_GB2312" w:eastAsia="仿宋_GB2312" w:cs="仿宋_GB2312"/>
          <w:color w:val="000000"/>
          <w:sz w:val="32"/>
          <w:szCs w:val="32"/>
          <w:lang w:val="en-US" w:eastAsia="zh-CN"/>
        </w:rPr>
        <w:t>精品路线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rPr>
        <w:t>促进</w:t>
      </w:r>
      <w:r>
        <w:rPr>
          <w:rFonts w:hint="eastAsia" w:ascii="仿宋_GB2312" w:hAnsi="仿宋_GB2312" w:eastAsia="仿宋_GB2312" w:cs="仿宋_GB2312"/>
          <w:sz w:val="32"/>
          <w:szCs w:val="32"/>
          <w:lang w:eastAsia="zh-CN"/>
        </w:rPr>
        <w:t>我市休闲农业不</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lang w:eastAsia="zh-CN"/>
        </w:rPr>
        <w:t>断</w:t>
      </w:r>
      <w:r>
        <w:rPr>
          <w:rFonts w:hint="eastAsia" w:ascii="仿宋_GB2312" w:hAnsi="仿宋_GB2312" w:eastAsia="仿宋_GB2312" w:cs="仿宋_GB2312"/>
          <w:sz w:val="32"/>
          <w:szCs w:val="32"/>
        </w:rPr>
        <w:t>转型升级。</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highlight w:val="none"/>
          <w:lang w:val="en-US" w:eastAsia="zh-CN"/>
        </w:rPr>
        <w:t>开展</w:t>
      </w:r>
      <w:r>
        <w:rPr>
          <w:rFonts w:hint="eastAsia" w:ascii="仿宋_GB2312" w:hAnsi="仿宋_GB2312" w:eastAsia="仿宋_GB2312" w:cs="仿宋_GB2312"/>
          <w:sz w:val="32"/>
          <w:szCs w:val="32"/>
        </w:rPr>
        <w:t>休闲农业精品线路</w:t>
      </w:r>
      <w:r>
        <w:rPr>
          <w:rFonts w:hint="eastAsia" w:ascii="仿宋_GB2312" w:hAnsi="仿宋_GB2312" w:eastAsia="仿宋_GB2312" w:cs="仿宋_GB2312"/>
          <w:sz w:val="32"/>
          <w:szCs w:val="32"/>
          <w:lang w:eastAsia="zh-CN"/>
        </w:rPr>
        <w:t>推介工作</w:t>
      </w:r>
      <w:r>
        <w:rPr>
          <w:rFonts w:hint="eastAsia" w:ascii="仿宋_GB2312" w:hAnsi="仿宋_GB2312" w:eastAsia="仿宋_GB2312" w:cs="仿宋_GB2312"/>
          <w:sz w:val="32"/>
          <w:szCs w:val="32"/>
        </w:rPr>
        <w:t>，</w:t>
      </w:r>
      <w:r>
        <w:rPr>
          <w:rFonts w:hint="eastAsia" w:ascii="仿宋_GB2312" w:hAnsi="仿宋_GB2312" w:eastAsia="仿宋_GB2312" w:cs="仿宋_GB2312"/>
          <w:kern w:val="2"/>
          <w:sz w:val="32"/>
          <w:szCs w:val="32"/>
          <w:highlight w:val="none"/>
          <w:lang w:val="en-US" w:eastAsia="zh-CN" w:bidi="ar-SA"/>
        </w:rPr>
        <w:t>积极推介和宣传我市休闲农业优势资源，</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eastAsia="zh-CN"/>
        </w:rPr>
        <w:t>春夏秋冬分别有</w:t>
      </w:r>
      <w:r>
        <w:rPr>
          <w:rFonts w:hint="eastAsia" w:ascii="仿宋_GB2312" w:hAnsi="仿宋_GB2312" w:eastAsia="仿宋_GB2312" w:cs="仿宋_GB2312"/>
          <w:sz w:val="32"/>
          <w:szCs w:val="32"/>
          <w:lang w:val="en-US" w:eastAsia="zh-CN"/>
        </w:rPr>
        <w:t>5条、5条、6条、3条线路</w:t>
      </w:r>
      <w:r>
        <w:rPr>
          <w:rFonts w:hint="eastAsia" w:ascii="仿宋_GB2312" w:hAnsi="仿宋_GB2312" w:eastAsia="仿宋_GB2312" w:cs="仿宋_GB2312"/>
          <w:sz w:val="32"/>
          <w:szCs w:val="32"/>
        </w:rPr>
        <w:t>在河北新闻网推介，</w:t>
      </w:r>
      <w:r>
        <w:rPr>
          <w:rFonts w:hint="eastAsia" w:ascii="仿宋_GB2312" w:hAnsi="仿宋_GB2312" w:eastAsia="仿宋_GB2312" w:cs="仿宋_GB2312"/>
          <w:kern w:val="2"/>
          <w:sz w:val="32"/>
          <w:szCs w:val="32"/>
          <w:highlight w:val="none"/>
          <w:lang w:val="en-US" w:eastAsia="zh-CN" w:bidi="ar-SA"/>
        </w:rPr>
        <w:t>今年4月2日，农业农村部发布60条2024中国美丽乡村休闲旅游行（春季）精品线路，我局推送的沙河春观花浪漫之旅线路作为河北省唯一一条线路获得推介。</w:t>
      </w:r>
      <w:r>
        <w:rPr>
          <w:rFonts w:hint="eastAsia" w:ascii="仿宋_GB2312" w:hAnsi="仿宋_GB2312" w:eastAsia="仿宋_GB2312" w:cs="仿宋_GB2312"/>
          <w:sz w:val="32"/>
          <w:szCs w:val="32"/>
        </w:rPr>
        <w:t>极大提升了</w:t>
      </w:r>
      <w:r>
        <w:rPr>
          <w:rFonts w:hint="eastAsia" w:ascii="仿宋_GB2312" w:hAnsi="仿宋_GB2312" w:eastAsia="仿宋_GB2312" w:cs="仿宋_GB2312"/>
          <w:sz w:val="32"/>
          <w:szCs w:val="32"/>
          <w:lang w:eastAsia="zh-CN"/>
        </w:rPr>
        <w:t>我市</w:t>
      </w:r>
      <w:r>
        <w:rPr>
          <w:rFonts w:hint="eastAsia" w:ascii="仿宋_GB2312" w:hAnsi="仿宋_GB2312" w:eastAsia="仿宋_GB2312" w:cs="仿宋_GB2312"/>
          <w:sz w:val="32"/>
          <w:szCs w:val="32"/>
        </w:rPr>
        <w:t>休闲农业知名度和影响力</w:t>
      </w:r>
      <w:r>
        <w:rPr>
          <w:rFonts w:hint="eastAsia" w:ascii="仿宋_GB2312" w:hAnsi="仿宋_GB2312" w:eastAsia="仿宋_GB2312" w:cs="仿宋_GB2312"/>
          <w:sz w:val="32"/>
          <w:szCs w:val="32"/>
          <w:lang w:eastAsia="zh-CN"/>
        </w:rPr>
        <w:t>。二是开展</w:t>
      </w:r>
      <w:r>
        <w:rPr>
          <w:rFonts w:hint="eastAsia" w:ascii="仿宋_GB2312" w:hAnsi="仿宋_GB2312" w:eastAsia="仿宋_GB2312" w:cs="仿宋_GB2312"/>
          <w:kern w:val="2"/>
          <w:sz w:val="32"/>
          <w:szCs w:val="32"/>
          <w:highlight w:val="none"/>
          <w:lang w:val="en-US" w:eastAsia="zh-CN" w:bidi="ar-SA"/>
        </w:rPr>
        <w:t>河北省美丽休闲乡村创建，</w:t>
      </w:r>
      <w:r>
        <w:rPr>
          <w:rFonts w:hint="eastAsia" w:ascii="仿宋_GB2312" w:hAnsi="仿宋_GB2312" w:eastAsia="仿宋_GB2312" w:cs="仿宋_GB2312"/>
          <w:sz w:val="32"/>
          <w:szCs w:val="32"/>
        </w:rPr>
        <w:t>培育打造的</w:t>
      </w:r>
      <w:r>
        <w:rPr>
          <w:rFonts w:hint="eastAsia" w:ascii="仿宋_GB2312" w:hAnsi="仿宋_GB2312" w:eastAsia="仿宋_GB2312" w:cs="仿宋_GB2312"/>
          <w:kern w:val="2"/>
          <w:sz w:val="32"/>
          <w:szCs w:val="32"/>
          <w:highlight w:val="none"/>
          <w:lang w:val="en-US" w:eastAsia="zh-CN" w:bidi="ar-SA"/>
        </w:rPr>
        <w:t>隆尧县小孟村、信都区英谈村、沙河市安河村、新河县西李家庄村、临城县南中皋村、威县孙家寨村、清河县孝义屯村、东野庄村、广宗县曹家寨村9个村获评2023年河北省美丽休闲乡村。三是打造河北省休闲农业精品园区，推荐的临城县中国核桃小镇、内丘县百果庄园、清河县坝营现代农业示范园区，成功申报为2023年河北省休闲农业精品园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kern w:val="2"/>
          <w:sz w:val="32"/>
          <w:szCs w:val="32"/>
          <w:highlight w:val="none"/>
          <w:lang w:val="en-US" w:eastAsia="zh-CN" w:bidi="ar-SA"/>
        </w:rPr>
        <w:t>二、</w:t>
      </w:r>
      <w:r>
        <w:rPr>
          <w:rFonts w:hint="eastAsia" w:ascii="黑体" w:hAnsi="黑体" w:eastAsia="黑体" w:cs="黑体"/>
          <w:sz w:val="32"/>
          <w:szCs w:val="32"/>
          <w:lang w:val="en-US" w:eastAsia="zh-CN"/>
        </w:rPr>
        <w:t>主要措施</w:t>
      </w:r>
    </w:p>
    <w:p>
      <w:pPr>
        <w:pStyle w:val="8"/>
        <w:keepNext w:val="0"/>
        <w:keepLines w:val="0"/>
        <w:pageBreakBefore w:val="0"/>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一</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明晰</w:t>
      </w:r>
      <w:r>
        <w:rPr>
          <w:rFonts w:hint="eastAsia" w:ascii="楷体_GB2312" w:hAnsi="楷体_GB2312" w:eastAsia="楷体_GB2312" w:cs="楷体_GB2312"/>
          <w:b w:val="0"/>
          <w:bCs/>
          <w:sz w:val="32"/>
          <w:szCs w:val="32"/>
        </w:rPr>
        <w:t>思路</w:t>
      </w:r>
      <w:r>
        <w:rPr>
          <w:rFonts w:hint="eastAsia" w:ascii="楷体_GB2312" w:hAnsi="楷体_GB2312" w:eastAsia="楷体_GB2312" w:cs="楷体_GB2312"/>
          <w:b w:val="0"/>
          <w:bCs/>
          <w:sz w:val="32"/>
          <w:szCs w:val="32"/>
          <w:lang w:val="en-US" w:eastAsia="zh-CN"/>
        </w:rPr>
        <w:t>合力</w:t>
      </w:r>
      <w:r>
        <w:rPr>
          <w:rFonts w:hint="eastAsia" w:ascii="楷体_GB2312" w:hAnsi="楷体_GB2312" w:eastAsia="楷体_GB2312" w:cs="楷体_GB2312"/>
          <w:b w:val="0"/>
          <w:bCs/>
          <w:sz w:val="32"/>
          <w:szCs w:val="32"/>
        </w:rPr>
        <w:t>抓推进</w:t>
      </w:r>
      <w:r>
        <w:rPr>
          <w:rFonts w:hint="eastAsia" w:ascii="楷体_GB2312" w:hAnsi="楷体_GB2312" w:eastAsia="楷体_GB2312" w:cs="楷体_GB2312"/>
          <w:b w:val="0"/>
          <w:bCs/>
          <w:sz w:val="32"/>
          <w:szCs w:val="32"/>
          <w:lang w:eastAsia="zh-CN"/>
        </w:rPr>
        <w:t>。</w:t>
      </w:r>
      <w:r>
        <w:rPr>
          <w:rFonts w:hint="eastAsia" w:ascii="仿宋_GB2312" w:eastAsia="仿宋_GB2312"/>
          <w:color w:val="000000"/>
          <w:sz w:val="32"/>
          <w:szCs w:val="32"/>
        </w:rPr>
        <w:t>按照串点成线、连线扩面的思路，以主题突出、功能互补、点面结合为原则，</w:t>
      </w:r>
      <w:r>
        <w:rPr>
          <w:rFonts w:hint="eastAsia" w:ascii="仿宋_GB2312" w:eastAsia="仿宋_GB2312"/>
          <w:color w:val="000000"/>
          <w:sz w:val="32"/>
          <w:szCs w:val="32"/>
          <w:lang w:val="en-US" w:eastAsia="zh-CN"/>
        </w:rPr>
        <w:t>“环市区”“沿国省干道”发展休闲农业</w:t>
      </w:r>
      <w:r>
        <w:rPr>
          <w:rFonts w:hint="eastAsia" w:ascii="仿宋_GB2312" w:eastAsia="仿宋_GB2312"/>
          <w:color w:val="000000"/>
          <w:sz w:val="32"/>
          <w:szCs w:val="32"/>
        </w:rPr>
        <w:t>，以现代农业园区</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龙头企业、一村一品示范村镇</w:t>
      </w:r>
      <w:r>
        <w:rPr>
          <w:rFonts w:hint="eastAsia" w:ascii="仿宋_GB2312" w:eastAsia="仿宋_GB2312"/>
          <w:color w:val="000000"/>
          <w:sz w:val="32"/>
          <w:szCs w:val="32"/>
        </w:rPr>
        <w:t>为基础，重点提升休闲农业紧密相关的特</w:t>
      </w:r>
      <w:r>
        <w:rPr>
          <w:rFonts w:hint="eastAsia" w:ascii="仿宋_GB2312" w:eastAsia="仿宋_GB2312"/>
          <w:color w:val="000000"/>
          <w:sz w:val="32"/>
          <w:szCs w:val="32"/>
          <w:lang w:val="en-US" w:eastAsia="zh-CN"/>
        </w:rPr>
        <w:t>色果蔬</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中药材等产业</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同时打造一批</w:t>
      </w:r>
      <w:r>
        <w:rPr>
          <w:rFonts w:hint="eastAsia" w:ascii="仿宋_GB2312" w:eastAsia="仿宋_GB2312"/>
          <w:color w:val="000000"/>
          <w:sz w:val="32"/>
          <w:szCs w:val="32"/>
        </w:rPr>
        <w:t>休闲农业</w:t>
      </w:r>
      <w:r>
        <w:rPr>
          <w:rFonts w:hint="eastAsia" w:ascii="仿宋_GB2312" w:eastAsia="仿宋_GB2312"/>
          <w:color w:val="000000"/>
          <w:sz w:val="32"/>
          <w:szCs w:val="32"/>
          <w:lang w:val="en-US" w:eastAsia="zh-CN"/>
        </w:rPr>
        <w:t>精品路线</w:t>
      </w:r>
      <w:r>
        <w:rPr>
          <w:rFonts w:hint="eastAsia" w:ascii="仿宋_GB2312" w:eastAsia="仿宋_GB2312"/>
          <w:color w:val="000000"/>
          <w:sz w:val="32"/>
          <w:szCs w:val="32"/>
        </w:rPr>
        <w:t>。</w:t>
      </w:r>
    </w:p>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ascii="仿宋_GB2312" w:hAnsi="黑体" w:eastAsia="仿宋_GB2312"/>
          <w:sz w:val="32"/>
          <w:szCs w:val="32"/>
        </w:rPr>
      </w:pPr>
      <w:r>
        <w:rPr>
          <w:rFonts w:hint="eastAsia" w:ascii="楷体_GB2312" w:hAnsi="楷体_GB2312" w:eastAsia="楷体_GB2312" w:cs="楷体_GB2312"/>
          <w:b w:val="0"/>
          <w:bCs/>
          <w:sz w:val="32"/>
          <w:szCs w:val="32"/>
          <w:lang w:val="en-US" w:eastAsia="zh-CN"/>
        </w:rPr>
        <w:t>（二）</w:t>
      </w:r>
      <w:r>
        <w:rPr>
          <w:rFonts w:hint="eastAsia" w:ascii="楷体_GB2312" w:hAnsi="楷体_GB2312" w:eastAsia="楷体_GB2312" w:cs="楷体_GB2312"/>
          <w:b w:val="0"/>
          <w:bCs/>
          <w:sz w:val="32"/>
          <w:szCs w:val="32"/>
          <w:lang w:eastAsia="zh-CN"/>
        </w:rPr>
        <w:t>突出重点</w:t>
      </w:r>
      <w:r>
        <w:rPr>
          <w:rFonts w:hint="eastAsia" w:ascii="楷体_GB2312" w:hAnsi="楷体_GB2312" w:eastAsia="楷体_GB2312" w:cs="楷体_GB2312"/>
          <w:b w:val="0"/>
          <w:bCs/>
          <w:sz w:val="32"/>
          <w:szCs w:val="32"/>
          <w:lang w:val="en-US" w:eastAsia="zh-CN"/>
        </w:rPr>
        <w:t>有序</w:t>
      </w:r>
      <w:r>
        <w:rPr>
          <w:rFonts w:hint="eastAsia" w:ascii="楷体_GB2312" w:hAnsi="楷体_GB2312" w:eastAsia="楷体_GB2312" w:cs="楷体_GB2312"/>
          <w:b w:val="0"/>
          <w:bCs/>
          <w:sz w:val="32"/>
          <w:szCs w:val="32"/>
          <w:lang w:eastAsia="zh-CN"/>
        </w:rPr>
        <w:t>抓推进。</w:t>
      </w:r>
      <w:r>
        <w:rPr>
          <w:rFonts w:hint="eastAsia" w:ascii="仿宋_GB2312" w:eastAsia="仿宋_GB2312"/>
          <w:color w:val="000000"/>
          <w:sz w:val="32"/>
          <w:szCs w:val="32"/>
        </w:rPr>
        <w:t>精准对焦休闲农业发展的切入点和突破口，集中力量，突出重点，扎实有序推进休闲农业建设。</w:t>
      </w:r>
      <w:r>
        <w:rPr>
          <w:rFonts w:hint="eastAsia" w:ascii="仿宋_GB2312" w:eastAsia="仿宋_GB2312"/>
          <w:color w:val="000000"/>
          <w:sz w:val="32"/>
          <w:szCs w:val="32"/>
          <w:lang w:val="en-US" w:eastAsia="zh-CN"/>
        </w:rPr>
        <w:t>积极打造山区四县（沙河市、信都区、内丘县、临城县）、东部三县（南和区、巨鹿县、清河县）等休闲农业集聚区，打造巨鹿县堤村乡、沙河市白塔镇等农业产业强镇，发展核桃、酸枣、金银花等农业全产业链，进一步促进休闲农业资源集约利用和融合发展。</w:t>
      </w:r>
    </w:p>
    <w:p>
      <w:pPr>
        <w:keepNext w:val="0"/>
        <w:keepLines w:val="0"/>
        <w:pageBreakBefore w:val="0"/>
        <w:kinsoku/>
        <w:wordWrap/>
        <w:overflowPunct/>
        <w:topLinePunct w:val="0"/>
        <w:autoSpaceDE/>
        <w:autoSpaceDN/>
        <w:bidi w:val="0"/>
        <w:spacing w:line="580" w:lineRule="exact"/>
        <w:ind w:firstLine="640" w:firstLineChars="200"/>
        <w:textAlignment w:val="auto"/>
        <w:rPr>
          <w:rFonts w:hint="default" w:ascii="仿宋" w:hAnsi="仿宋" w:eastAsia="仿宋" w:cs="仿宋"/>
          <w:b w:val="0"/>
          <w:color w:val="auto"/>
          <w:kern w:val="2"/>
          <w:sz w:val="32"/>
          <w:szCs w:val="32"/>
          <w:vertAlign w:val="baseline"/>
          <w:lang w:val="en-US" w:eastAsia="zh-CN" w:bidi="ar-SA"/>
        </w:rPr>
      </w:pPr>
      <w:r>
        <w:rPr>
          <w:rFonts w:hint="eastAsia" w:ascii="楷体_GB2312" w:hAnsi="楷体_GB2312" w:eastAsia="楷体_GB2312" w:cs="楷体_GB2312"/>
          <w:b w:val="0"/>
          <w:bCs/>
          <w:kern w:val="0"/>
          <w:sz w:val="32"/>
          <w:szCs w:val="32"/>
          <w:lang w:val="en-US" w:eastAsia="zh-CN" w:bidi="ar-SA"/>
        </w:rPr>
        <w:t>（三）彰显特色抓推进。</w:t>
      </w:r>
      <w:r>
        <w:rPr>
          <w:rFonts w:hint="eastAsia" w:ascii="仿宋_GB2312" w:eastAsia="仿宋_GB2312"/>
          <w:color w:val="000000"/>
          <w:sz w:val="32"/>
          <w:szCs w:val="32"/>
          <w:lang w:val="en-US" w:eastAsia="zh-CN"/>
        </w:rPr>
        <w:t>市县</w:t>
      </w:r>
      <w:r>
        <w:rPr>
          <w:rFonts w:hint="eastAsia" w:ascii="仿宋_GB2312" w:eastAsia="仿宋_GB2312"/>
          <w:color w:val="000000"/>
          <w:sz w:val="32"/>
          <w:szCs w:val="32"/>
        </w:rPr>
        <w:t>高度重视休闲农业品牌建设，农业、旅游等部门的密切配合，构建起“上下联动、部门协同、各方联手”的良好格局，创新休闲农业营销方式，强化“品牌营销”，拓展发展空间</w:t>
      </w:r>
      <w:r>
        <w:rPr>
          <w:rFonts w:hint="eastAsia" w:ascii="仿宋_GB2312" w:eastAsia="仿宋_GB2312"/>
          <w:color w:val="000000"/>
          <w:sz w:val="32"/>
          <w:szCs w:val="32"/>
          <w:lang w:eastAsia="zh-CN"/>
        </w:rPr>
        <w:t>，</w:t>
      </w:r>
      <w:r>
        <w:rPr>
          <w:rFonts w:hint="eastAsia" w:ascii="仿宋_GB2312" w:eastAsia="仿宋_GB2312"/>
          <w:color w:val="000000"/>
          <w:sz w:val="32"/>
          <w:szCs w:val="32"/>
        </w:rPr>
        <w:t>深入挖掘品牌特色和农耕文化，注入历史文化内涵，提升产业形象，赋予休闲农业更为鲜明的特色。</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640" w:firstLineChars="20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三、下一步工作</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根据建议，结合本地实际，我们采取以下措施：</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kern w:val="0"/>
          <w:sz w:val="32"/>
          <w:szCs w:val="32"/>
          <w:lang w:val="en-US" w:eastAsia="zh-CN" w:bidi="ar-SA"/>
        </w:rPr>
        <w:t>（一）强化组织领导。</w:t>
      </w:r>
      <w:r>
        <w:rPr>
          <w:rFonts w:hint="eastAsia" w:ascii="Times New Roman" w:hAnsi="Times New Roman" w:eastAsia="仿宋_GB2312" w:cs="Times New Roman"/>
          <w:kern w:val="2"/>
          <w:sz w:val="32"/>
          <w:szCs w:val="32"/>
          <w:highlight w:val="none"/>
          <w:lang w:val="en-US" w:eastAsia="zh-CN" w:bidi="ar-SA"/>
        </w:rPr>
        <w:t>加强统筹协调配合，积极争取</w:t>
      </w:r>
      <w:r>
        <w:rPr>
          <w:rFonts w:hint="eastAsia" w:ascii="仿宋_GB2312" w:hAnsi="仿宋_GB2312" w:eastAsia="仿宋_GB2312" w:cs="仿宋_GB2312"/>
          <w:sz w:val="32"/>
          <w:szCs w:val="32"/>
          <w:lang w:val="en-US" w:eastAsia="zh-CN"/>
        </w:rPr>
        <w:t>支持政策，切实解决休闲农业在建设用地、税收、融资、宣传推介等方面的难题，增强休闲农业抗风险能力，推进休闲农业快速健康发展。</w:t>
      </w:r>
    </w:p>
    <w:p>
      <w:pPr>
        <w:pStyle w:val="8"/>
        <w:keepNext w:val="0"/>
        <w:keepLines w:val="0"/>
        <w:pageBreakBefore w:val="0"/>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kern w:val="0"/>
          <w:sz w:val="32"/>
          <w:szCs w:val="32"/>
          <w:lang w:val="en-US" w:eastAsia="zh-CN" w:bidi="ar-SA"/>
        </w:rPr>
        <w:t>（二）加强载体培育。</w:t>
      </w:r>
      <w:r>
        <w:rPr>
          <w:rFonts w:hint="eastAsia" w:ascii="仿宋_GB2312" w:hAnsi="仿宋_GB2312" w:eastAsia="仿宋_GB2312" w:cs="仿宋_GB2312"/>
          <w:sz w:val="32"/>
          <w:szCs w:val="32"/>
          <w:lang w:val="en-US" w:eastAsia="zh-CN"/>
        </w:rPr>
        <w:t>重点打造“点线面”结合的休闲农业体系，推进休闲农业重点县、休闲农业企业培育等工作，开展乡村旅游精品线路推介，</w:t>
      </w:r>
      <w:r>
        <w:rPr>
          <w:rFonts w:hint="eastAsia" w:ascii="仿宋_GB2312" w:hAnsi="楷体" w:eastAsia="仿宋_GB2312" w:cs="楷体"/>
          <w:kern w:val="2"/>
          <w:sz w:val="32"/>
          <w:szCs w:val="32"/>
          <w:lang w:val="en-US" w:eastAsia="zh-CN" w:bidi="ar-SA"/>
        </w:rPr>
        <w:t>坚持培育壮大休闲农业经营主体，促进休闲农业连点成线</w:t>
      </w:r>
      <w:r>
        <w:rPr>
          <w:rFonts w:hint="eastAsia" w:ascii="仿宋_GB2312" w:hAnsi="仿宋_GB2312" w:eastAsia="仿宋_GB2312" w:cs="仿宋_GB2312"/>
          <w:sz w:val="32"/>
          <w:szCs w:val="32"/>
          <w:lang w:val="en-US" w:eastAsia="zh-CN"/>
        </w:rPr>
        <w:t>、拓线成面。</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kern w:val="0"/>
          <w:sz w:val="32"/>
          <w:szCs w:val="32"/>
          <w:lang w:val="en-US" w:eastAsia="zh-CN" w:bidi="ar-SA"/>
        </w:rPr>
        <w:t>（三）加强休闲农业管理服务人员培训，更新观念，增强服务意识。</w:t>
      </w:r>
      <w:r>
        <w:rPr>
          <w:rFonts w:hint="eastAsia" w:ascii="仿宋_GB2312" w:hAnsi="仿宋_GB2312" w:eastAsia="仿宋_GB2312" w:cs="仿宋_GB2312"/>
          <w:sz w:val="32"/>
          <w:szCs w:val="32"/>
          <w:lang w:val="en-US" w:eastAsia="zh-CN"/>
        </w:rPr>
        <w:t>用足用好有关政策，支持休闲农业发展。整合休闲农业资源，促进休闲农业主体联合发展，实现多主体共享共赢。</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感谢你们对农业农村工作的关心和支持！</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5440" w:firstLineChars="1700"/>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5440" w:firstLineChars="1700"/>
        <w:rPr>
          <w:rFonts w:hint="eastAsia" w:ascii="仿宋_GB2312" w:hAnsi="仿宋_GB2312" w:eastAsia="仿宋_GB2312" w:cs="仿宋_GB2312"/>
          <w:sz w:val="32"/>
          <w:szCs w:val="32"/>
          <w:lang w:val="en-US" w:eastAsia="zh-CN"/>
        </w:rPr>
      </w:pPr>
    </w:p>
    <w:p>
      <w:p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5440" w:firstLineChars="17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邢台市农业农村局</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5440" w:firstLineChars="17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2024年5月30日</w:t>
      </w:r>
    </w:p>
    <w:p>
      <w:pPr>
        <w:pStyle w:val="2"/>
        <w:keepNext w:val="0"/>
        <w:keepLines w:val="0"/>
        <w:pageBreakBefore w:val="0"/>
        <w:widowControl w:val="0"/>
        <w:kinsoku/>
        <w:wordWrap/>
        <w:overflowPunct/>
        <w:topLinePunct w:val="0"/>
        <w:autoSpaceDE/>
        <w:autoSpaceDN/>
        <w:bidi w:val="0"/>
        <w:adjustRightInd/>
        <w:snapToGrid/>
        <w:spacing w:after="0" w:afterLines="0" w:line="580" w:lineRule="exact"/>
        <w:ind w:left="0" w:leftChars="0" w:firstLine="5440" w:firstLineChars="1700"/>
        <w:rPr>
          <w:rFonts w:hint="eastAsia" w:ascii="仿宋_GB2312" w:hAnsi="仿宋_GB2312" w:eastAsia="仿宋_GB2312" w:cs="仿宋_GB2312"/>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rPr>
          <w:rFonts w:hint="eastAsia" w:ascii="仿宋_GB2312" w:hAnsi="仿宋_GB2312" w:eastAsia="仿宋_GB2312" w:cs="仿宋_GB2312"/>
          <w:spacing w:val="0"/>
          <w:w w:val="100"/>
          <w:position w:val="0"/>
          <w:sz w:val="32"/>
          <w:szCs w:val="32"/>
        </w:rPr>
      </w:pPr>
    </w:p>
    <w:p>
      <w:pPr>
        <w:rPr>
          <w:rFonts w:hint="eastAsia"/>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default"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val="en-US" w:eastAsia="zh-CN"/>
        </w:rPr>
        <w:t>左清飚  3680960</w:t>
      </w:r>
    </w:p>
    <w:p>
      <w:pPr>
        <w:keepNext w:val="0"/>
        <w:keepLines w:val="0"/>
        <w:pageBreakBefore w:val="0"/>
        <w:widowControl w:val="0"/>
        <w:kinsoku/>
        <w:wordWrap/>
        <w:overflowPunct/>
        <w:topLinePunct w:val="0"/>
        <w:autoSpaceDE/>
        <w:autoSpaceDN/>
        <w:bidi w:val="0"/>
        <w:adjustRightInd/>
        <w:snapToGrid/>
        <w:spacing w:line="58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w w:val="100"/>
          <w:position w:val="0"/>
          <w:sz w:val="32"/>
          <w:szCs w:val="32"/>
        </w:rPr>
        <w:t>抄送：市政府办公室，市政协提案委员会</w:t>
      </w:r>
      <w:r>
        <w:rPr>
          <w:rFonts w:hint="eastAsia" w:ascii="仿宋_GB2312" w:hAnsi="仿宋_GB2312" w:eastAsia="仿宋_GB2312" w:cs="仿宋_GB2312"/>
          <w:spacing w:val="0"/>
          <w:w w:val="100"/>
          <w:position w:val="0"/>
          <w:sz w:val="32"/>
          <w:szCs w:val="32"/>
          <w:lang w:eastAsia="zh-CN"/>
        </w:rPr>
        <w:t>。</w:t>
      </w:r>
    </w:p>
    <w:sectPr>
      <w:footerReference r:id="rId3" w:type="default"/>
      <w:pgSz w:w="11906" w:h="16838"/>
      <w:pgMar w:top="2154" w:right="1531" w:bottom="1984" w:left="1531" w:header="851" w:footer="1701"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eastAsia" w:ascii="宋体" w:hAnsi="宋体" w:eastAsia="宋体" w:cs="宋体"/>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AszGsKswEAAFIDAAAOAAAAAAAAAAEAIAAAADQBAABkcnMvZTJvRG9j&#10;LnhtbFBLBQYAAAAABgAGAFkBAABZ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34FA248A"/>
    <w:rsid w:val="02094A42"/>
    <w:rsid w:val="075E4A2A"/>
    <w:rsid w:val="09970B85"/>
    <w:rsid w:val="0B6131F9"/>
    <w:rsid w:val="1B1453A9"/>
    <w:rsid w:val="1CF42CA9"/>
    <w:rsid w:val="1E4F5A7B"/>
    <w:rsid w:val="1F3A3F16"/>
    <w:rsid w:val="29C16846"/>
    <w:rsid w:val="2F390E30"/>
    <w:rsid w:val="322746E6"/>
    <w:rsid w:val="32F2699E"/>
    <w:rsid w:val="33B77665"/>
    <w:rsid w:val="34FA248A"/>
    <w:rsid w:val="3C07067B"/>
    <w:rsid w:val="49284EC6"/>
    <w:rsid w:val="500A3750"/>
    <w:rsid w:val="5271021A"/>
    <w:rsid w:val="5A577137"/>
    <w:rsid w:val="5DFF3E15"/>
    <w:rsid w:val="6A516D7C"/>
    <w:rsid w:val="6FBFA470"/>
    <w:rsid w:val="771460CE"/>
    <w:rsid w:val="78291AB0"/>
    <w:rsid w:val="78EC5072"/>
    <w:rsid w:val="7A84390D"/>
    <w:rsid w:val="BEEDF704"/>
    <w:rsid w:val="CF9BE2AA"/>
    <w:rsid w:val="F5354FE7"/>
    <w:rsid w:val="FBB6D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spacing w:after="120" w:afterLines="0" w:afterAutospacing="0"/>
      <w:ind w:left="420" w:leftChars="200"/>
    </w:p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Body Text First Indent 21"/>
    <w:basedOn w:val="12"/>
    <w:qFormat/>
    <w:uiPriority w:val="0"/>
    <w:pPr>
      <w:ind w:firstLine="420" w:firstLineChars="200"/>
    </w:pPr>
  </w:style>
  <w:style w:type="paragraph" w:customStyle="1" w:styleId="12">
    <w:name w:val="Body Text Indent1"/>
    <w:basedOn w:val="1"/>
    <w:qFormat/>
    <w:uiPriority w:val="0"/>
    <w:pPr>
      <w:spacing w:after="120" w:afterLines="0"/>
      <w:ind w:left="420" w:leftChars="200"/>
    </w:pPr>
  </w:style>
  <w:style w:type="paragraph" w:customStyle="1" w:styleId="13">
    <w:name w:val="BodyText1I2"/>
    <w:basedOn w:val="14"/>
    <w:next w:val="1"/>
    <w:qFormat/>
    <w:uiPriority w:val="0"/>
    <w:pPr>
      <w:spacing w:after="120"/>
      <w:ind w:left="0" w:leftChars="0" w:firstLine="420" w:firstLineChars="200"/>
      <w:jc w:val="both"/>
      <w:textAlignment w:val="baseline"/>
    </w:pPr>
  </w:style>
  <w:style w:type="paragraph" w:customStyle="1" w:styleId="14">
    <w:name w:val="BodyTextIndent"/>
    <w:basedOn w:val="1"/>
    <w:qFormat/>
    <w:uiPriority w:val="0"/>
    <w:pPr>
      <w:spacing w:after="120"/>
      <w:ind w:left="420" w:leftChars="200"/>
      <w:jc w:val="both"/>
      <w:textAlignment w:val="baseline"/>
    </w:pPr>
  </w:style>
  <w:style w:type="paragraph" w:customStyle="1" w:styleId="15">
    <w:name w:val="纯文本1"/>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2024-04-30T11:25:00Z</dcterms:created>
  <dc:creator>左清飚</dc:creator>
  <cp:lastModifiedBy>ncj</cp:lastModifiedBy>
  <dcterms:modified xsi:type="dcterms:W3CDTF">2024-06-07T13:21:39Z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F4E53012898A4294ADCBD00FD37CB251_13</vt:lpwstr>
  </property>
</Properties>
</file>