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640" w:lineRule="exact"/>
        <w:ind w:right="0" w:firstLine="640" w:firstLineChars="200"/>
        <w:jc w:val="center"/>
        <w:textAlignment w:val="baseline"/>
        <w:rPr>
          <w:rFonts w:hint="eastAsia" w:ascii="仿宋_GB2312" w:hAnsi="仿宋_GB2312" w:eastAsia="仿宋_GB2312" w:cs="仿宋_GB2312"/>
          <w:b w:val="0"/>
          <w:bCs w:val="0"/>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40" w:lineRule="exact"/>
        <w:ind w:right="0" w:firstLine="640" w:firstLineChars="200"/>
        <w:jc w:val="center"/>
        <w:textAlignment w:val="baseline"/>
        <w:rPr>
          <w:rFonts w:hint="eastAsia" w:ascii="仿宋_GB2312" w:hAnsi="仿宋_GB2312" w:eastAsia="仿宋_GB2312" w:cs="仿宋_GB2312"/>
          <w:b w:val="0"/>
          <w:bCs w:val="0"/>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right"/>
        <w:textAlignment w:val="baseline"/>
        <w:rPr>
          <w:rFonts w:hint="eastAsia"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b w:val="0"/>
          <w:bCs w:val="0"/>
          <w:spacing w:val="0"/>
          <w:w w:val="100"/>
          <w:position w:val="0"/>
          <w:sz w:val="32"/>
          <w:szCs w:val="32"/>
        </w:rPr>
        <w:t>是否同意公开：</w:t>
      </w:r>
      <w:r>
        <w:rPr>
          <w:rFonts w:hint="eastAsia" w:ascii="仿宋_GB2312" w:hAnsi="仿宋_GB2312" w:eastAsia="仿宋_GB2312" w:cs="仿宋_GB2312"/>
          <w:b w:val="0"/>
          <w:bCs w:val="0"/>
          <w:spacing w:val="0"/>
          <w:w w:val="100"/>
          <w:position w:val="0"/>
          <w:sz w:val="32"/>
          <w:szCs w:val="32"/>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right"/>
        <w:textAlignment w:val="baseline"/>
        <w:rPr>
          <w:rFonts w:hint="eastAsia"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b w:val="0"/>
          <w:bCs w:val="0"/>
          <w:spacing w:val="0"/>
          <w:w w:val="100"/>
          <w:position w:val="0"/>
          <w:sz w:val="32"/>
          <w:szCs w:val="32"/>
        </w:rPr>
        <w:t>办理结果：</w:t>
      </w:r>
      <w:r>
        <w:rPr>
          <w:rFonts w:hint="eastAsia" w:ascii="仿宋_GB2312" w:hAnsi="仿宋_GB2312" w:eastAsia="仿宋_GB2312" w:cs="仿宋_GB2312"/>
          <w:b w:val="0"/>
          <w:bCs w:val="0"/>
          <w:spacing w:val="0"/>
          <w:w w:val="100"/>
          <w:position w:val="0"/>
          <w:sz w:val="32"/>
          <w:szCs w:val="32"/>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line="560" w:lineRule="exact"/>
        <w:ind w:right="0" w:firstLine="640" w:firstLineChars="20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lang w:val="en-US" w:eastAsia="zh-CN"/>
        </w:rPr>
        <w:t>邢农提案字〔2024〕26</w:t>
      </w:r>
      <w:bookmarkStart w:id="0" w:name="_GoBack"/>
      <w:bookmarkEnd w:id="0"/>
      <w:r>
        <w:rPr>
          <w:rFonts w:hint="eastAsia" w:ascii="仿宋_GB2312" w:hAnsi="仿宋_GB2312" w:eastAsia="仿宋_GB2312" w:cs="仿宋_GB2312"/>
          <w:spacing w:val="0"/>
          <w:w w:val="100"/>
          <w:position w:val="0"/>
          <w:sz w:val="32"/>
          <w:szCs w:val="32"/>
          <w:lang w:val="en-US" w:eastAsia="zh-CN"/>
        </w:rPr>
        <w:t>号</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880" w:firstLineChars="200"/>
        <w:jc w:val="center"/>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第</w:t>
      </w:r>
      <w:r>
        <w:rPr>
          <w:rFonts w:hint="eastAsia" w:ascii="方正小标宋简体" w:hAnsi="方正小标宋简体" w:eastAsia="方正小标宋简体" w:cs="方正小标宋简体"/>
          <w:b w:val="0"/>
          <w:bCs w:val="0"/>
          <w:spacing w:val="0"/>
          <w:w w:val="100"/>
          <w:position w:val="0"/>
          <w:sz w:val="44"/>
          <w:szCs w:val="44"/>
          <w:lang w:val="en-US" w:eastAsia="zh-CN"/>
        </w:rPr>
        <w:t>四</w:t>
      </w:r>
      <w:r>
        <w:rPr>
          <w:rFonts w:hint="eastAsia" w:ascii="方正小标宋简体" w:hAnsi="方正小标宋简体" w:eastAsia="方正小标宋简体" w:cs="方正小标宋简体"/>
          <w:b w:val="0"/>
          <w:bCs w:val="0"/>
          <w:spacing w:val="0"/>
          <w:w w:val="100"/>
          <w:position w:val="0"/>
          <w:sz w:val="44"/>
          <w:szCs w:val="44"/>
        </w:rPr>
        <w:t>次会议第</w:t>
      </w:r>
      <w:r>
        <w:rPr>
          <w:rFonts w:hint="eastAsia" w:ascii="方正小标宋简体" w:hAnsi="方正小标宋简体" w:eastAsia="方正小标宋简体" w:cs="方正小标宋简体"/>
          <w:b w:val="0"/>
          <w:bCs w:val="0"/>
          <w:spacing w:val="0"/>
          <w:w w:val="100"/>
          <w:position w:val="0"/>
          <w:sz w:val="44"/>
          <w:szCs w:val="44"/>
          <w:lang w:val="en-US" w:eastAsia="zh-CN"/>
        </w:rPr>
        <w:t>306</w:t>
      </w:r>
      <w:r>
        <w:rPr>
          <w:rFonts w:hint="eastAsia" w:ascii="方正小标宋简体" w:hAnsi="方正小标宋简体" w:eastAsia="方正小标宋简体" w:cs="方正小标宋简体"/>
          <w:b w:val="0"/>
          <w:bCs w:val="0"/>
          <w:spacing w:val="0"/>
          <w:w w:val="100"/>
          <w:position w:val="0"/>
          <w:sz w:val="44"/>
          <w:szCs w:val="44"/>
        </w:rPr>
        <w:t>号提案的答复</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640" w:firstLineChars="200"/>
        <w:rPr>
          <w:rFonts w:hint="eastAsia"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0" w:firstLineChar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国磊委员：</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您提出的关于“以产业振兴，助力乡村振兴”的提案收悉。</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numPr>
          <w:ilvl w:val="0"/>
          <w:numId w:val="1"/>
        </w:numPr>
        <w:pBdr>
          <w:bottom w:val="single" w:color="FFFFFF" w:sz="4" w:space="17"/>
        </w:pBdr>
        <w:kinsoku/>
        <w:wordWrap/>
        <w:overflowPunct w:val="0"/>
        <w:topLinePunct/>
        <w:autoSpaceDE/>
        <w:autoSpaceDN/>
        <w:bidi w:val="0"/>
        <w:adjustRightInd w:val="0"/>
        <w:snapToGrid w:val="0"/>
        <w:spacing w:line="560" w:lineRule="exact"/>
        <w:ind w:firstLine="640" w:firstLineChars="200"/>
        <w:jc w:val="left"/>
        <w:textAlignment w:val="auto"/>
        <w:rPr>
          <w:rFonts w:hint="eastAsia" w:ascii="黑体" w:hAnsi="黑体" w:eastAsia="黑体" w:cs="黑体"/>
          <w:kern w:val="0"/>
          <w:sz w:val="32"/>
          <w:szCs w:val="32"/>
          <w:lang w:val="en-US" w:eastAsia="zh-CN" w:bidi="ar-SA"/>
        </w:rPr>
      </w:pPr>
      <w:r>
        <w:rPr>
          <w:rFonts w:hint="eastAsia" w:ascii="黑体" w:hAnsi="黑体" w:eastAsia="黑体" w:cs="黑体"/>
          <w:kern w:val="0"/>
          <w:sz w:val="32"/>
          <w:szCs w:val="32"/>
          <w:lang w:val="en-US" w:eastAsia="zh-CN" w:bidi="ar-SA"/>
        </w:rPr>
        <w:t>基本情况</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left"/>
        <w:textAlignment w:val="auto"/>
        <w:rPr>
          <w:rFonts w:hint="eastAsia" w:ascii="仿宋_GB2312" w:hAnsi="Times New Roman" w:eastAsia="仿宋_GB2312" w:cs="宋体"/>
          <w:kern w:val="0"/>
          <w:sz w:val="32"/>
          <w:szCs w:val="32"/>
          <w:lang w:val="zh-CN"/>
        </w:rPr>
        <w:sectPr>
          <w:pgSz w:w="11906" w:h="16838"/>
          <w:pgMar w:top="2098" w:right="1531" w:bottom="1984" w:left="1531" w:header="851" w:footer="1701" w:gutter="0"/>
          <w:pgNumType w:fmt="numberInDash"/>
          <w:cols w:space="720" w:num="1"/>
          <w:docGrid w:type="lines" w:linePitch="312" w:charSpace="0"/>
        </w:sectPr>
      </w:pPr>
      <w:r>
        <w:rPr>
          <w:rFonts w:hint="eastAsia" w:ascii="仿宋_GB2312" w:hAnsi="仿宋_GB2312" w:eastAsia="仿宋_GB2312" w:cs="仿宋_GB2312"/>
          <w:sz w:val="32"/>
          <w:szCs w:val="32"/>
          <w:lang w:val="en-US" w:eastAsia="zh-CN"/>
        </w:rPr>
        <w:t>围绕您提出的“以产业振兴，助力乡村振兴”，我市把产业振兴，作为助力乡村振兴、促进农民增收的重要抓手，多措并举、强力推进，为乡村振兴注入了活力。</w:t>
      </w:r>
      <w:r>
        <w:rPr>
          <w:rFonts w:hint="eastAsia" w:ascii="仿宋_GB2312" w:hAnsi="仿宋_GB2312" w:eastAsia="仿宋_GB2312" w:cs="仿宋_GB2312"/>
          <w:sz w:val="32"/>
          <w:szCs w:val="32"/>
          <w:lang w:eastAsia="zh-CN"/>
        </w:rPr>
        <w:t>近年来，市委市政府高度重视农村产业发展</w:t>
      </w:r>
      <w:r>
        <w:rPr>
          <w:rFonts w:hint="eastAsia" w:ascii="Times New Roman" w:hAnsi="Times New Roman" w:eastAsia="仿宋_GB2312" w:cs="Times New Roman"/>
          <w:kern w:val="2"/>
          <w:sz w:val="32"/>
          <w:szCs w:val="32"/>
          <w:highlight w:val="none"/>
          <w:lang w:val="en-US" w:eastAsia="zh-CN" w:bidi="ar-SA"/>
        </w:rPr>
        <w:t>，积极推进农业产业化工作，坚持育龙头、建项目、树品牌协同推进，为乡村振兴提供了产业保障。</w:t>
      </w:r>
      <w:r>
        <w:rPr>
          <w:rFonts w:hint="eastAsia" w:ascii="仿宋_GB2312" w:hAnsi="Arial" w:eastAsia="仿宋_GB2312" w:cs="Arial"/>
          <w:color w:val="000000"/>
          <w:sz w:val="32"/>
          <w:szCs w:val="32"/>
          <w:highlight w:val="none"/>
          <w:shd w:val="clear" w:color="auto" w:fill="FFFFFF"/>
          <w:lang w:eastAsia="zh-CN"/>
        </w:rPr>
        <w:t>截至</w:t>
      </w:r>
      <w:r>
        <w:rPr>
          <w:rFonts w:hint="eastAsia" w:ascii="仿宋_GB2312" w:hAnsi="Arial" w:eastAsia="仿宋_GB2312" w:cs="Arial"/>
          <w:color w:val="000000"/>
          <w:sz w:val="32"/>
          <w:szCs w:val="32"/>
          <w:highlight w:val="none"/>
          <w:shd w:val="clear" w:color="auto" w:fill="FFFFFF"/>
        </w:rPr>
        <w:t>目前，</w:t>
      </w:r>
      <w:r>
        <w:rPr>
          <w:rFonts w:hint="eastAsia" w:ascii="仿宋_GB2312" w:hAnsi="仿宋_GB2312" w:eastAsia="仿宋_GB2312" w:cs="仿宋_GB2312"/>
          <w:i w:val="0"/>
          <w:caps w:val="0"/>
          <w:color w:val="000000"/>
          <w:spacing w:val="0"/>
          <w:sz w:val="32"/>
          <w:szCs w:val="32"/>
          <w:highlight w:val="none"/>
          <w:lang w:eastAsia="zh-CN"/>
        </w:rPr>
        <w:t>全市拥有</w:t>
      </w:r>
      <w:r>
        <w:rPr>
          <w:rFonts w:hint="default" w:ascii="仿宋_GB2312" w:hAnsi="仿宋_GB2312" w:eastAsia="仿宋_GB2312" w:cs="仿宋_GB2312"/>
          <w:i w:val="0"/>
          <w:caps w:val="0"/>
          <w:color w:val="000000"/>
          <w:spacing w:val="0"/>
          <w:sz w:val="32"/>
          <w:szCs w:val="32"/>
          <w:highlight w:val="none"/>
          <w:lang w:val="en-US" w:eastAsia="zh-CN"/>
        </w:rPr>
        <w:t>市级以上</w:t>
      </w:r>
      <w:r>
        <w:rPr>
          <w:rFonts w:hint="default" w:ascii="仿宋_GB2312" w:hAnsi="仿宋_GB2312" w:eastAsia="仿宋_GB2312" w:cs="仿宋_GB2312"/>
          <w:i w:val="0"/>
          <w:caps w:val="0"/>
          <w:color w:val="000000"/>
          <w:spacing w:val="0"/>
          <w:sz w:val="32"/>
          <w:szCs w:val="32"/>
          <w:highlight w:val="none"/>
        </w:rPr>
        <w:t>农业产业化重点龙头企业</w:t>
      </w:r>
      <w:r>
        <w:rPr>
          <w:rFonts w:hint="eastAsia" w:ascii="仿宋_GB2312" w:hAnsi="仿宋_GB2312" w:eastAsia="仿宋_GB2312" w:cs="仿宋_GB2312"/>
          <w:i w:val="0"/>
          <w:caps w:val="0"/>
          <w:color w:val="000000"/>
          <w:spacing w:val="0"/>
          <w:sz w:val="32"/>
          <w:szCs w:val="32"/>
          <w:highlight w:val="none"/>
          <w:lang w:val="en-US" w:eastAsia="zh-CN"/>
        </w:rPr>
        <w:t>440</w:t>
      </w:r>
      <w:r>
        <w:rPr>
          <w:rFonts w:hint="default" w:ascii="仿宋_GB2312" w:hAnsi="仿宋_GB2312" w:eastAsia="仿宋_GB2312" w:cs="仿宋_GB2312"/>
          <w:i w:val="0"/>
          <w:caps w:val="0"/>
          <w:color w:val="000000"/>
          <w:spacing w:val="0"/>
          <w:sz w:val="32"/>
          <w:szCs w:val="32"/>
          <w:highlight w:val="none"/>
        </w:rPr>
        <w:t>家，</w:t>
      </w:r>
      <w:r>
        <w:rPr>
          <w:rFonts w:hint="eastAsia" w:ascii="仿宋_GB2312" w:hAnsi="仿宋_GB2312" w:eastAsia="仿宋_GB2312" w:cs="仿宋_GB2312"/>
          <w:i w:val="0"/>
          <w:caps w:val="0"/>
          <w:color w:val="000000"/>
          <w:spacing w:val="0"/>
          <w:sz w:val="32"/>
          <w:szCs w:val="32"/>
          <w:highlight w:val="none"/>
          <w:lang w:eastAsia="zh-CN"/>
        </w:rPr>
        <w:t>其中省级</w:t>
      </w:r>
      <w:r>
        <w:rPr>
          <w:rFonts w:hint="eastAsia" w:ascii="仿宋_GB2312" w:hAnsi="仿宋_GB2312" w:eastAsia="仿宋_GB2312" w:cs="仿宋_GB2312"/>
          <w:i w:val="0"/>
          <w:caps w:val="0"/>
          <w:color w:val="000000"/>
          <w:spacing w:val="0"/>
          <w:sz w:val="32"/>
          <w:szCs w:val="32"/>
          <w:highlight w:val="none"/>
          <w:lang w:val="en-US" w:eastAsia="zh-CN"/>
        </w:rPr>
        <w:t>102家，国家级10家</w:t>
      </w:r>
      <w:r>
        <w:rPr>
          <w:rFonts w:hint="eastAsia" w:ascii="仿宋_GB2312" w:hAnsi="仿宋_GB2312" w:eastAsia="仿宋_GB2312" w:cs="仿宋_GB2312"/>
          <w:i w:val="0"/>
          <w:caps w:val="0"/>
          <w:color w:val="000000"/>
          <w:spacing w:val="0"/>
          <w:sz w:val="32"/>
          <w:szCs w:val="32"/>
          <w:highlight w:val="none"/>
          <w:lang w:eastAsia="zh-CN"/>
        </w:rPr>
        <w:t>。建成</w:t>
      </w:r>
      <w:r>
        <w:rPr>
          <w:rFonts w:hint="eastAsia" w:ascii="仿宋_GB2312" w:hAnsi="Times New Roman" w:eastAsia="仿宋_GB2312" w:cs="宋体"/>
          <w:kern w:val="0"/>
          <w:sz w:val="32"/>
          <w:szCs w:val="32"/>
          <w:lang w:val="zh-CN"/>
        </w:rPr>
        <w:t>今麦郎方便面全国最大的方便面生</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jc w:val="left"/>
        <w:textAlignment w:val="auto"/>
        <w:rPr>
          <w:rFonts w:hint="eastAsia" w:ascii="仿宋_GB2312" w:hAnsi="Times New Roman" w:eastAsia="仿宋_GB2312" w:cs="宋体"/>
          <w:kern w:val="0"/>
          <w:sz w:val="32"/>
          <w:szCs w:val="32"/>
          <w:highlight w:val="none"/>
          <w:lang w:val="zh-CN"/>
        </w:rPr>
      </w:pPr>
      <w:r>
        <w:rPr>
          <w:rFonts w:hint="eastAsia" w:ascii="仿宋_GB2312" w:hAnsi="Times New Roman" w:eastAsia="仿宋_GB2312" w:cs="宋体"/>
          <w:kern w:val="0"/>
          <w:sz w:val="32"/>
          <w:szCs w:val="32"/>
          <w:lang w:val="zh-CN"/>
        </w:rPr>
        <w:t>产基地</w:t>
      </w:r>
      <w:r>
        <w:rPr>
          <w:rFonts w:hint="eastAsia" w:ascii="仿宋_GB2312" w:hAnsi="Times New Roman" w:eastAsia="仿宋_GB2312" w:cs="宋体"/>
          <w:kern w:val="0"/>
          <w:sz w:val="32"/>
          <w:szCs w:val="32"/>
          <w:lang w:val="zh-CN" w:eastAsia="zh-CN"/>
        </w:rPr>
        <w:t>；</w:t>
      </w:r>
      <w:r>
        <w:rPr>
          <w:rFonts w:hint="eastAsia" w:ascii="仿宋_GB2312" w:hAnsi="Times New Roman" w:eastAsia="仿宋_GB2312" w:cs="宋体"/>
          <w:kern w:val="0"/>
          <w:sz w:val="32"/>
          <w:szCs w:val="32"/>
          <w:lang w:val="zh-CN"/>
        </w:rPr>
        <w:t>金沙河集团挂面产销量世界第一</w:t>
      </w:r>
      <w:r>
        <w:rPr>
          <w:rFonts w:hint="eastAsia" w:ascii="仿宋_GB2312" w:hAnsi="Times New Roman" w:eastAsia="仿宋_GB2312" w:cs="宋体"/>
          <w:kern w:val="0"/>
          <w:sz w:val="32"/>
          <w:szCs w:val="32"/>
          <w:lang w:val="zh-CN" w:eastAsia="zh-CN"/>
        </w:rPr>
        <w:t>；</w:t>
      </w:r>
      <w:r>
        <w:rPr>
          <w:rFonts w:hint="eastAsia" w:ascii="仿宋_GB2312" w:hAnsi="Times New Roman" w:eastAsia="仿宋_GB2312" w:cs="宋体"/>
          <w:kern w:val="0"/>
          <w:sz w:val="32"/>
          <w:szCs w:val="32"/>
          <w:lang w:val="zh-CN"/>
        </w:rPr>
        <w:t>玉锋集团成为全球最大的维生素B12生产基地；河北光明九道菇成为全球单体规模最大工厂化食用菌生产基地。</w:t>
      </w:r>
      <w:r>
        <w:rPr>
          <w:rFonts w:hint="eastAsia" w:ascii="仿宋_GB2312" w:hAnsi="仿宋_GB2312" w:eastAsia="仿宋_GB2312" w:cs="仿宋_GB2312"/>
          <w:b w:val="0"/>
          <w:bCs w:val="0"/>
          <w:color w:val="000000"/>
          <w:kern w:val="2"/>
          <w:sz w:val="32"/>
          <w:szCs w:val="32"/>
          <w:highlight w:val="none"/>
          <w:shd w:val="clear" w:color="auto" w:fill="FFFFFF"/>
          <w:lang w:val="zh-CN" w:eastAsia="zh-CN" w:bidi="ar-SA"/>
        </w:rPr>
        <w:t>我</w:t>
      </w:r>
      <w:r>
        <w:rPr>
          <w:rFonts w:hint="eastAsia" w:ascii="仿宋_GB2312" w:hAnsi="Times New Roman" w:eastAsia="仿宋_GB2312" w:cs="宋体"/>
          <w:kern w:val="0"/>
          <w:sz w:val="32"/>
          <w:szCs w:val="32"/>
          <w:highlight w:val="none"/>
          <w:lang w:val="zh-CN"/>
        </w:rPr>
        <w:t>拥有富岗、玉星、奥丁等1</w:t>
      </w:r>
      <w:r>
        <w:rPr>
          <w:rFonts w:hint="eastAsia" w:ascii="仿宋_GB2312" w:hAnsi="Times New Roman" w:eastAsia="仿宋_GB2312" w:cs="宋体"/>
          <w:kern w:val="0"/>
          <w:sz w:val="32"/>
          <w:szCs w:val="32"/>
          <w:highlight w:val="none"/>
          <w:lang w:val="en-US" w:eastAsia="zh-CN"/>
        </w:rPr>
        <w:t>3</w:t>
      </w:r>
      <w:r>
        <w:rPr>
          <w:rFonts w:hint="eastAsia" w:ascii="仿宋_GB2312" w:hAnsi="Times New Roman" w:eastAsia="仿宋_GB2312" w:cs="宋体"/>
          <w:kern w:val="0"/>
          <w:sz w:val="32"/>
          <w:szCs w:val="32"/>
          <w:highlight w:val="none"/>
          <w:lang w:val="zh-CN"/>
        </w:rPr>
        <w:t>个涉农中国驰名商标</w:t>
      </w:r>
      <w:r>
        <w:rPr>
          <w:rFonts w:hint="eastAsia" w:ascii="仿宋_GB2312" w:hAnsi="Times New Roman" w:eastAsia="仿宋_GB2312" w:cs="宋体"/>
          <w:kern w:val="0"/>
          <w:sz w:val="32"/>
          <w:szCs w:val="32"/>
          <w:highlight w:val="none"/>
          <w:lang w:val="en-US" w:eastAsia="zh-CN"/>
        </w:rPr>
        <w:t>和</w:t>
      </w:r>
      <w:r>
        <w:rPr>
          <w:rFonts w:hint="eastAsia" w:ascii="仿宋_GB2312" w:hAnsi="Times New Roman" w:eastAsia="仿宋_GB2312" w:cs="宋体"/>
          <w:kern w:val="0"/>
          <w:sz w:val="32"/>
          <w:szCs w:val="32"/>
          <w:highlight w:val="none"/>
          <w:lang w:val="zh-CN"/>
        </w:rPr>
        <w:t>邢台酸枣仁、南和犬猫粮、内丘苹果</w:t>
      </w:r>
      <w:r>
        <w:rPr>
          <w:rFonts w:hint="eastAsia" w:ascii="仿宋_GB2312" w:hAnsi="Times New Roman" w:eastAsia="仿宋_GB2312" w:cs="宋体"/>
          <w:kern w:val="0"/>
          <w:sz w:val="32"/>
          <w:szCs w:val="32"/>
          <w:highlight w:val="none"/>
          <w:lang w:val="en-US" w:eastAsia="zh-CN"/>
        </w:rPr>
        <w:t>等</w:t>
      </w:r>
      <w:r>
        <w:rPr>
          <w:rFonts w:hint="eastAsia" w:ascii="仿宋_GB2312" w:hAnsi="Times New Roman" w:eastAsia="仿宋_GB2312" w:cs="宋体"/>
          <w:kern w:val="0"/>
          <w:sz w:val="32"/>
          <w:szCs w:val="32"/>
          <w:highlight w:val="none"/>
          <w:lang w:val="zh-CN"/>
        </w:rPr>
        <w:t>1</w:t>
      </w:r>
      <w:r>
        <w:rPr>
          <w:rFonts w:hint="eastAsia" w:ascii="仿宋_GB2312" w:hAnsi="Times New Roman" w:eastAsia="仿宋_GB2312" w:cs="宋体"/>
          <w:kern w:val="0"/>
          <w:sz w:val="32"/>
          <w:szCs w:val="32"/>
          <w:highlight w:val="none"/>
          <w:lang w:val="en-US" w:eastAsia="zh-CN"/>
        </w:rPr>
        <w:t>6</w:t>
      </w:r>
      <w:r>
        <w:rPr>
          <w:rFonts w:hint="eastAsia" w:ascii="仿宋_GB2312" w:hAnsi="Times New Roman" w:eastAsia="仿宋_GB2312" w:cs="宋体"/>
          <w:kern w:val="0"/>
          <w:sz w:val="32"/>
          <w:szCs w:val="32"/>
          <w:highlight w:val="none"/>
          <w:lang w:val="zh-CN"/>
        </w:rPr>
        <w:t>个省级农产品区域公用品牌。</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kern w:val="2"/>
          <w:sz w:val="32"/>
          <w:szCs w:val="32"/>
          <w:highlight w:val="none"/>
          <w:lang w:val="en-US" w:eastAsia="zh-CN" w:bidi="ar-SA"/>
        </w:rPr>
        <w:t>二、</w:t>
      </w:r>
      <w:r>
        <w:rPr>
          <w:rFonts w:hint="eastAsia" w:ascii="黑体" w:hAnsi="黑体" w:eastAsia="黑体" w:cs="黑体"/>
          <w:sz w:val="32"/>
          <w:szCs w:val="32"/>
          <w:lang w:val="en-US" w:eastAsia="zh-CN"/>
        </w:rPr>
        <w:t>主要措施</w:t>
      </w:r>
    </w:p>
    <w:p>
      <w:pPr>
        <w:keepNext w:val="0"/>
        <w:keepLines w:val="0"/>
        <w:pageBreakBefore w:val="0"/>
        <w:numPr>
          <w:ilvl w:val="0"/>
          <w:numId w:val="0"/>
        </w:numPr>
        <w:pBdr>
          <w:bottom w:val="single" w:color="FFFFFF" w:sz="4" w:space="17"/>
        </w:pBdr>
        <w:kinsoku/>
        <w:wordWrap/>
        <w:overflowPunct w:val="0"/>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0"/>
          <w:sz w:val="32"/>
          <w:szCs w:val="32"/>
          <w:highlight w:val="none"/>
          <w:lang w:val="en-US" w:eastAsia="zh-CN" w:bidi="ar"/>
        </w:rPr>
      </w:pPr>
      <w:r>
        <w:rPr>
          <w:rFonts w:hint="eastAsia" w:ascii="楷体_GB2312" w:hAnsi="楷体_GB2312" w:eastAsia="楷体_GB2312" w:cs="楷体_GB2312"/>
          <w:sz w:val="32"/>
          <w:szCs w:val="32"/>
          <w:lang w:val="en-US" w:eastAsia="zh-CN"/>
        </w:rPr>
        <w:t>（一）强化政策引领，促进产业融合发展。</w:t>
      </w:r>
      <w:r>
        <w:rPr>
          <w:rFonts w:hint="eastAsia" w:ascii="仿宋_GB2312" w:hAnsi="仿宋_GB2312" w:eastAsia="仿宋_GB2312" w:cs="仿宋_GB2312"/>
          <w:sz w:val="32"/>
          <w:szCs w:val="32"/>
        </w:rPr>
        <w:t>市委、市政府先后出台</w:t>
      </w:r>
      <w:r>
        <w:rPr>
          <w:rFonts w:hint="eastAsia" w:ascii="仿宋_GB2312" w:hAnsi="仿宋_GB2312" w:eastAsia="仿宋_GB2312" w:cs="仿宋_GB2312"/>
          <w:sz w:val="32"/>
          <w:szCs w:val="32"/>
          <w:lang w:eastAsia="zh-CN"/>
        </w:rPr>
        <w:t>了《关于做大做强农业产业化龙头企业的实施意见》</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kern w:val="2"/>
          <w:sz w:val="32"/>
          <w:szCs w:val="32"/>
          <w:shd w:val="clear" w:color="auto" w:fill="auto"/>
          <w:lang w:val="en-US" w:eastAsia="zh-CN" w:bidi="ar-SA"/>
        </w:rPr>
        <w:t>邢台市推动健康食品产业发展政策二十条</w:t>
      </w:r>
      <w:r>
        <w:rPr>
          <w:rFonts w:hint="eastAsia" w:ascii="仿宋_GB2312" w:hAnsi="仿宋_GB2312" w:eastAsia="仿宋_GB2312" w:cs="仿宋_GB2312"/>
          <w:sz w:val="32"/>
          <w:szCs w:val="32"/>
        </w:rPr>
        <w:t>》《邢台市支持食品加工产业隆起带发展若干措施》</w:t>
      </w:r>
      <w:r>
        <w:rPr>
          <w:rFonts w:hint="eastAsia" w:ascii="仿宋_GB2312" w:hAnsi="仿宋_GB2312" w:eastAsia="仿宋_GB2312" w:cs="仿宋_GB2312"/>
          <w:sz w:val="32"/>
          <w:szCs w:val="32"/>
          <w:lang w:eastAsia="zh-CN"/>
        </w:rPr>
        <w:t>等多项政策</w:t>
      </w:r>
      <w:r>
        <w:rPr>
          <w:rFonts w:hint="eastAsia" w:ascii="仿宋_GB2312" w:hAnsi="仿宋_GB2312" w:eastAsia="仿宋_GB2312" w:cs="仿宋_GB2312"/>
          <w:sz w:val="32"/>
          <w:szCs w:val="32"/>
        </w:rPr>
        <w:t>，聚焦</w:t>
      </w:r>
      <w:r>
        <w:rPr>
          <w:rFonts w:hint="eastAsia" w:ascii="仿宋_GB2312" w:hAnsi="仿宋_GB2312" w:eastAsia="仿宋_GB2312" w:cs="仿宋_GB2312"/>
          <w:sz w:val="32"/>
          <w:szCs w:val="32"/>
          <w:lang w:eastAsia="zh-CN"/>
        </w:rPr>
        <w:t>健康食品、休闲食品、方便食品等农产品加工产业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从资金、用地、人才、项目等方面予以支持</w:t>
      </w:r>
      <w:r>
        <w:rPr>
          <w:rFonts w:hint="eastAsia" w:ascii="仿宋_GB2312" w:hAnsi="仿宋_GB2312" w:eastAsia="仿宋_GB2312" w:cs="仿宋_GB2312"/>
          <w:kern w:val="2"/>
          <w:sz w:val="32"/>
          <w:szCs w:val="32"/>
          <w:lang w:val="zh-CN" w:eastAsia="zh-CN" w:bidi="ar-SA"/>
        </w:rPr>
        <w:t>。</w:t>
      </w:r>
      <w:r>
        <w:rPr>
          <w:rFonts w:hint="default" w:ascii="Times New Roman" w:hAnsi="Times New Roman" w:eastAsia="仿宋_GB2312" w:cs="Times New Roman"/>
          <w:b w:val="0"/>
          <w:bCs/>
          <w:color w:val="000000"/>
          <w:sz w:val="32"/>
          <w:szCs w:val="32"/>
          <w:highlight w:val="none"/>
          <w:lang w:val="en-US" w:eastAsia="zh-CN"/>
        </w:rPr>
        <w:t>依托</w:t>
      </w:r>
      <w:r>
        <w:rPr>
          <w:rFonts w:hint="eastAsia" w:ascii="Times New Roman" w:hAnsi="Times New Roman" w:eastAsia="仿宋_GB2312" w:cs="Times New Roman"/>
          <w:b w:val="0"/>
          <w:bCs/>
          <w:color w:val="000000"/>
          <w:sz w:val="32"/>
          <w:szCs w:val="32"/>
          <w:highlight w:val="none"/>
          <w:lang w:val="en-US" w:eastAsia="zh-CN"/>
        </w:rPr>
        <w:t>各地</w:t>
      </w:r>
      <w:r>
        <w:rPr>
          <w:rFonts w:hint="default" w:ascii="Times New Roman" w:hAnsi="Times New Roman" w:eastAsia="仿宋_GB2312" w:cs="Times New Roman"/>
          <w:b w:val="0"/>
          <w:bCs/>
          <w:color w:val="000000"/>
          <w:sz w:val="32"/>
          <w:szCs w:val="32"/>
          <w:highlight w:val="none"/>
          <w:lang w:val="en-US" w:eastAsia="zh-CN"/>
        </w:rPr>
        <w:t>资源</w:t>
      </w:r>
      <w:r>
        <w:rPr>
          <w:rFonts w:hint="eastAsia" w:ascii="Times New Roman" w:hAnsi="Times New Roman" w:eastAsia="仿宋_GB2312" w:cs="Times New Roman"/>
          <w:b w:val="0"/>
          <w:bCs/>
          <w:color w:val="000000"/>
          <w:sz w:val="32"/>
          <w:szCs w:val="32"/>
          <w:highlight w:val="none"/>
          <w:lang w:val="en-US" w:eastAsia="zh-CN"/>
        </w:rPr>
        <w:t>优势</w:t>
      </w:r>
      <w:r>
        <w:rPr>
          <w:rFonts w:hint="eastAsia" w:ascii="Times New Roman" w:hAnsi="Times New Roman" w:eastAsia="仿宋_GB2312" w:cs="Times New Roman"/>
          <w:b w:val="0"/>
          <w:bCs/>
          <w:color w:val="000000"/>
          <w:sz w:val="32"/>
          <w:szCs w:val="32"/>
          <w:lang w:val="en-US" w:eastAsia="zh-CN"/>
        </w:rPr>
        <w:t>，</w:t>
      </w:r>
      <w:r>
        <w:rPr>
          <w:rFonts w:hint="default" w:ascii="Times New Roman" w:hAnsi="Times New Roman" w:eastAsia="仿宋_GB2312" w:cs="Times New Roman"/>
          <w:b w:val="0"/>
          <w:bCs/>
          <w:color w:val="000000"/>
          <w:sz w:val="32"/>
          <w:szCs w:val="32"/>
          <w:highlight w:val="none"/>
          <w:lang w:val="en-US" w:eastAsia="zh-CN"/>
        </w:rPr>
        <w:t>打造</w:t>
      </w:r>
      <w:r>
        <w:rPr>
          <w:rFonts w:hint="eastAsia" w:ascii="Times New Roman" w:hAnsi="Times New Roman" w:eastAsia="仿宋_GB2312" w:cs="Times New Roman"/>
          <w:b w:val="0"/>
          <w:bCs/>
          <w:color w:val="000000"/>
          <w:sz w:val="32"/>
          <w:szCs w:val="32"/>
          <w:highlight w:val="none"/>
          <w:lang w:val="en-US" w:eastAsia="zh-CN"/>
        </w:rPr>
        <w:t>威县威梨、巨鹿金银花、仁泽十字花科蔬菜、南和金米等符合地域特点的乡村</w:t>
      </w:r>
      <w:r>
        <w:rPr>
          <w:rFonts w:hint="default" w:ascii="Times New Roman" w:hAnsi="Times New Roman" w:eastAsia="仿宋_GB2312" w:cs="Times New Roman"/>
          <w:b w:val="0"/>
          <w:bCs/>
          <w:color w:val="000000"/>
          <w:sz w:val="32"/>
          <w:szCs w:val="32"/>
          <w:highlight w:val="none"/>
          <w:lang w:val="en-US" w:eastAsia="zh-CN"/>
        </w:rPr>
        <w:t>产业。</w:t>
      </w:r>
      <w:r>
        <w:rPr>
          <w:rFonts w:hint="eastAsia" w:ascii="Times New Roman" w:hAnsi="Times New Roman" w:eastAsia="仿宋_GB2312" w:cs="Times New Roman"/>
          <w:b w:val="0"/>
          <w:bCs/>
          <w:color w:val="000000"/>
          <w:sz w:val="32"/>
          <w:szCs w:val="32"/>
          <w:highlight w:val="none"/>
          <w:lang w:val="en-US" w:eastAsia="zh-CN"/>
        </w:rPr>
        <w:t>指导</w:t>
      </w:r>
      <w:r>
        <w:rPr>
          <w:rFonts w:hint="eastAsia" w:ascii="仿宋_GB2312" w:hAnsi="仿宋_GB2312" w:eastAsia="仿宋_GB2312" w:cs="仿宋_GB2312"/>
          <w:kern w:val="0"/>
          <w:sz w:val="32"/>
          <w:szCs w:val="32"/>
          <w:lang w:val="en-US" w:eastAsia="zh-CN" w:bidi="ar"/>
        </w:rPr>
        <w:t>建成一批主导产业突出、生产水平领先、融合趋势明显、品牌知名度高、具有较强辐射带动作用的“一村一品”示范村，形成一村带数村、多村连成片的发展格局</w:t>
      </w:r>
      <w:r>
        <w:rPr>
          <w:rFonts w:hint="eastAsia" w:ascii="仿宋_GB2312" w:hAnsi="仿宋_GB2312" w:eastAsia="仿宋_GB2312" w:cs="仿宋_GB2312"/>
          <w:kern w:val="0"/>
          <w:sz w:val="32"/>
          <w:szCs w:val="32"/>
          <w:highlight w:val="none"/>
          <w:lang w:val="en-US" w:eastAsia="zh-CN" w:bidi="ar"/>
        </w:rPr>
        <w:t>。</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仿宋_GB2312" w:eastAsia="仿宋_GB2312"/>
          <w:sz w:val="32"/>
          <w:szCs w:val="32"/>
        </w:rPr>
      </w:pPr>
      <w:r>
        <w:rPr>
          <w:rFonts w:hint="default"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lang w:val="en-US" w:eastAsia="zh-CN"/>
        </w:rPr>
        <w:t>二</w:t>
      </w:r>
      <w:r>
        <w:rPr>
          <w:rFonts w:hint="default"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lang w:val="en-US" w:eastAsia="zh-CN"/>
        </w:rPr>
        <w:t>搭建平台加快人才培养。</w:t>
      </w:r>
      <w:r>
        <w:rPr>
          <w:rFonts w:hint="eastAsia" w:ascii="仿宋_GB2312" w:eastAsia="仿宋_GB2312"/>
          <w:b/>
          <w:bCs/>
          <w:sz w:val="32"/>
          <w:szCs w:val="32"/>
        </w:rPr>
        <w:t>一是</w:t>
      </w:r>
      <w:r>
        <w:rPr>
          <w:rFonts w:hint="eastAsia" w:ascii="仿宋_GB2312" w:eastAsia="仿宋_GB2312"/>
          <w:sz w:val="32"/>
          <w:szCs w:val="32"/>
        </w:rPr>
        <w:t>依托基层农技推广补助项目，每年遴选农技人员、新型农业经营主体，采取1对N的方式开展帮扶指导，充分发挥“农技专家组+农技人员+新型经营主体+辐射户”的模式，多形式多渠道开展农技培训和服务。</w:t>
      </w:r>
      <w:r>
        <w:rPr>
          <w:rFonts w:hint="eastAsia" w:ascii="仿宋_GB2312" w:eastAsia="仿宋_GB2312"/>
          <w:b/>
          <w:bCs/>
          <w:sz w:val="32"/>
          <w:szCs w:val="32"/>
        </w:rPr>
        <w:t>二是</w:t>
      </w:r>
      <w:r>
        <w:rPr>
          <w:rFonts w:hint="eastAsia" w:ascii="仿宋_GB2312" w:eastAsia="仿宋_GB2312"/>
          <w:sz w:val="32"/>
          <w:szCs w:val="32"/>
        </w:rPr>
        <w:t>开展农技推广服务特聘计划。全市聘用50名左右特聘农技员，采用购买服务的方式，签订服务协议，全年进行技术培训和指导。</w:t>
      </w:r>
      <w:r>
        <w:rPr>
          <w:rFonts w:hint="eastAsia" w:ascii="仿宋_GB2312" w:hAnsi="仿宋_GB2312" w:eastAsia="仿宋_GB2312"/>
          <w:b/>
          <w:bCs/>
          <w:sz w:val="32"/>
          <w:szCs w:val="32"/>
        </w:rPr>
        <w:t>三是</w:t>
      </w:r>
      <w:r>
        <w:rPr>
          <w:rFonts w:hint="eastAsia" w:ascii="仿宋_GB2312" w:hAnsi="仿宋_GB2312" w:eastAsia="仿宋_GB2312"/>
          <w:sz w:val="32"/>
          <w:szCs w:val="32"/>
        </w:rPr>
        <w:t>持续加强农业创新驿站建设。全市30多家省级农业创新驿站对接引进京津冀和其他省市高等农业院所专家教授100多人，同时积极鼓励吸纳本地农技骨干参与，组建了30多支300多名农技人员组成的专家团队，每年引进技术装备20多项，开展培训100多场次，培训农技人员600多人次，新型农业经营主体和农民3000多人次，辐射带动5000多户农民。</w:t>
      </w:r>
      <w:r>
        <w:rPr>
          <w:rFonts w:hint="eastAsia" w:ascii="仿宋_GB2312" w:hAnsi="仿宋_GB2312" w:eastAsia="仿宋_GB2312"/>
          <w:b/>
          <w:bCs/>
          <w:sz w:val="32"/>
          <w:szCs w:val="32"/>
        </w:rPr>
        <w:t>四是</w:t>
      </w:r>
      <w:r>
        <w:rPr>
          <w:rFonts w:hint="eastAsia" w:ascii="仿宋_GB2312" w:hAnsi="仿宋_GB2312" w:eastAsia="仿宋_GB2312"/>
          <w:sz w:val="32"/>
          <w:szCs w:val="32"/>
        </w:rPr>
        <w:t>加强综合试验推广站建设</w:t>
      </w:r>
      <w:r>
        <w:rPr>
          <w:rFonts w:hint="eastAsia" w:ascii="仿宋_GB2312" w:hAnsi="仿宋_GB2312" w:eastAsia="仿宋_GB2312"/>
          <w:bCs/>
          <w:sz w:val="32"/>
          <w:szCs w:val="32"/>
        </w:rPr>
        <w:t>。</w:t>
      </w:r>
      <w:r>
        <w:rPr>
          <w:rFonts w:hint="eastAsia" w:ascii="仿宋_GB2312" w:hAnsi="仿宋_GB2312" w:eastAsia="仿宋_GB2312"/>
          <w:sz w:val="32"/>
          <w:szCs w:val="32"/>
        </w:rPr>
        <w:t>积极对接我省30个现代农业产业技术体系创新团队，加强小麦（玉米）、谷子、薯类、中药材、酸枣仁、食用菌（平菇）、棉花、蛋鸡（肉鸡）、蔬菜、油料、苹果、桃、梨、花卉14个综合试验推广站建设。积极引进高等科研院校岗位专家，鼓励支持本地青年科技骨干以创新团队成员身份，参加团队工作，</w:t>
      </w:r>
      <w:r>
        <w:rPr>
          <w:rFonts w:hint="eastAsia" w:ascii="仿宋_GB2312" w:eastAsia="仿宋_GB2312"/>
          <w:sz w:val="32"/>
          <w:szCs w:val="32"/>
        </w:rPr>
        <w:t>完善了“首席专家+岗位专家+综合试验推广站+基地”和“基地+专家（农技员）+企业（规模经营组织）+农民”为主的农教科研技推服务机制，畅通了科技成果转化渠道，培训了3000名农技人员和相关产业农户。</w:t>
      </w:r>
    </w:p>
    <w:p>
      <w:pPr>
        <w:keepNext w:val="0"/>
        <w:keepLines w:val="0"/>
        <w:pageBreakBefore w:val="0"/>
        <w:numPr>
          <w:ilvl w:val="0"/>
          <w:numId w:val="0"/>
        </w:numPr>
        <w:pBdr>
          <w:bottom w:val="single" w:color="FFFFFF" w:sz="4" w:space="17"/>
        </w:pBdr>
        <w:kinsoku/>
        <w:wordWrap/>
        <w:overflowPunct w:val="0"/>
        <w:topLinePunct w:val="0"/>
        <w:autoSpaceDE/>
        <w:autoSpaceDN/>
        <w:bidi w:val="0"/>
        <w:adjustRightInd w:val="0"/>
        <w:snapToGrid w:val="0"/>
        <w:spacing w:line="560" w:lineRule="exact"/>
        <w:ind w:firstLine="640" w:firstLineChars="200"/>
        <w:textAlignment w:val="auto"/>
        <w:rPr>
          <w:rFonts w:hint="default" w:ascii="Times New Roman" w:hAnsi="Times New Roman" w:eastAsia="楷体_GB2312" w:cs="Times New Roman"/>
          <w:sz w:val="32"/>
          <w:szCs w:val="32"/>
          <w:lang w:eastAsia="zh-CN"/>
        </w:rPr>
      </w:pPr>
      <w:r>
        <w:rPr>
          <w:rFonts w:hint="default"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lang w:val="en-US" w:eastAsia="zh-CN"/>
        </w:rPr>
        <w:t>三</w:t>
      </w:r>
      <w:r>
        <w:rPr>
          <w:rFonts w:hint="default"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lang w:val="en-US" w:eastAsia="zh-CN"/>
        </w:rPr>
        <w:t>培育主体构建产业体系。</w:t>
      </w:r>
      <w:r>
        <w:rPr>
          <w:rFonts w:hint="eastAsia" w:ascii="Times New Roman" w:hAnsi="Times New Roman" w:eastAsia="仿宋_GB2312" w:cs="Times New Roman"/>
          <w:kern w:val="2"/>
          <w:sz w:val="32"/>
          <w:szCs w:val="32"/>
          <w:lang w:val="en-US" w:eastAsia="zh-CN" w:bidi="ar-SA"/>
        </w:rPr>
        <w:t>一</w:t>
      </w:r>
      <w:r>
        <w:rPr>
          <w:rFonts w:hint="default" w:ascii="Times New Roman" w:hAnsi="Times New Roman" w:eastAsia="仿宋_GB2312" w:cs="Times New Roman"/>
          <w:kern w:val="2"/>
          <w:sz w:val="32"/>
          <w:szCs w:val="32"/>
          <w:lang w:val="en-US" w:eastAsia="zh-CN" w:bidi="ar-SA"/>
        </w:rPr>
        <w:t>是</w:t>
      </w:r>
      <w:r>
        <w:rPr>
          <w:rFonts w:hint="eastAsia" w:ascii="Times New Roman" w:hAnsi="Times New Roman" w:eastAsia="仿宋_GB2312" w:cs="Times New Roman"/>
          <w:kern w:val="2"/>
          <w:sz w:val="32"/>
          <w:szCs w:val="32"/>
          <w:lang w:val="en-US" w:eastAsia="zh-CN" w:bidi="ar-SA"/>
        </w:rPr>
        <w:t>政策支持。</w:t>
      </w:r>
      <w:r>
        <w:rPr>
          <w:rFonts w:hint="eastAsia" w:ascii="仿宋_GB2312" w:hAnsi="仿宋_GB2312" w:eastAsia="仿宋_GB2312" w:cs="仿宋_GB2312"/>
          <w:kern w:val="0"/>
          <w:sz w:val="32"/>
          <w:szCs w:val="32"/>
          <w:lang w:val="en-US" w:eastAsia="zh-CN" w:bidi="ar"/>
        </w:rPr>
        <w:t>结合产业强镇、</w:t>
      </w:r>
      <w:r>
        <w:rPr>
          <w:rFonts w:hint="default" w:ascii="仿宋_GB2312" w:hAnsi="仿宋_GB2312" w:eastAsia="仿宋_GB2312" w:cs="仿宋_GB2312"/>
          <w:kern w:val="0"/>
          <w:sz w:val="32"/>
          <w:szCs w:val="32"/>
          <w:lang w:val="en-US" w:eastAsia="zh-CN" w:bidi="ar"/>
        </w:rPr>
        <w:t>联合体延链强链</w:t>
      </w:r>
      <w:r>
        <w:rPr>
          <w:rFonts w:hint="eastAsia" w:ascii="仿宋_GB2312" w:hAnsi="仿宋_GB2312" w:eastAsia="仿宋_GB2312" w:cs="仿宋_GB2312"/>
          <w:kern w:val="0"/>
          <w:sz w:val="32"/>
          <w:szCs w:val="32"/>
          <w:lang w:val="en-US" w:eastAsia="zh-CN" w:bidi="ar"/>
        </w:rPr>
        <w:t>项目、</w:t>
      </w:r>
      <w:r>
        <w:rPr>
          <w:rFonts w:hint="default" w:ascii="仿宋_GB2312" w:hAnsi="仿宋_GB2312" w:eastAsia="仿宋_GB2312" w:cs="仿宋_GB2312"/>
          <w:kern w:val="0"/>
          <w:sz w:val="32"/>
          <w:szCs w:val="32"/>
          <w:lang w:val="en-US" w:eastAsia="zh-CN" w:bidi="ar"/>
        </w:rPr>
        <w:t>龙头企业培育</w:t>
      </w:r>
      <w:r>
        <w:rPr>
          <w:rFonts w:hint="eastAsia" w:ascii="仿宋_GB2312" w:hAnsi="仿宋_GB2312" w:eastAsia="仿宋_GB2312" w:cs="仿宋_GB2312"/>
          <w:kern w:val="0"/>
          <w:sz w:val="32"/>
          <w:szCs w:val="32"/>
          <w:lang w:val="en-US" w:eastAsia="zh-CN" w:bidi="ar"/>
        </w:rPr>
        <w:t>项目等建设，支持龙头企业做大做强</w:t>
      </w:r>
      <w:r>
        <w:rPr>
          <w:rStyle w:val="18"/>
          <w:rFonts w:hint="eastAsia" w:ascii="仿宋_GB2312" w:hAnsi="仿宋_GB2312" w:eastAsia="仿宋_GB2312" w:cs="仿宋_GB2312"/>
          <w:kern w:val="0"/>
          <w:sz w:val="32"/>
          <w:szCs w:val="32"/>
          <w:lang w:val="en-US" w:eastAsia="zh-CN"/>
        </w:rPr>
        <w:t>。</w:t>
      </w:r>
      <w:r>
        <w:rPr>
          <w:rFonts w:hint="default" w:ascii="Times New Roman" w:hAnsi="Times New Roman" w:eastAsia="仿宋_GB2312" w:cs="Times New Roman"/>
          <w:kern w:val="2"/>
          <w:sz w:val="32"/>
          <w:szCs w:val="32"/>
          <w:lang w:val="en-US" w:eastAsia="zh-CN" w:bidi="ar-SA"/>
        </w:rPr>
        <w:t>二是金融服务。每年举办</w:t>
      </w:r>
      <w:r>
        <w:rPr>
          <w:rFonts w:hint="eastAsia" w:ascii="仿宋_GB2312" w:hAnsi="仿宋_GB2312" w:eastAsia="仿宋_GB2312" w:cs="仿宋_GB2312"/>
          <w:kern w:val="2"/>
          <w:sz w:val="32"/>
          <w:szCs w:val="32"/>
          <w:lang w:val="en-US" w:eastAsia="zh-CN" w:bidi="ar-SA"/>
        </w:rPr>
        <w:t>3-5</w:t>
      </w:r>
      <w:r>
        <w:rPr>
          <w:rFonts w:hint="default" w:ascii="Times New Roman" w:hAnsi="Times New Roman" w:eastAsia="仿宋_GB2312" w:cs="Times New Roman"/>
          <w:kern w:val="2"/>
          <w:sz w:val="32"/>
          <w:szCs w:val="32"/>
          <w:lang w:val="en-US" w:eastAsia="zh-CN" w:bidi="ar-SA"/>
        </w:rPr>
        <w:t>次银企对接、上市培训活动，解决企业贷款难。对重点项目和拟上市企业采取一对一的方式进行跟踪服务，解决实际问题。三是用地倾斜。在制定发展规划过程中，建设用地向农产品加工项目倾斜，每个乡镇预留土地给加工企业，满足企业增产能、扩规模的用地需求。</w:t>
      </w:r>
      <w:r>
        <w:rPr>
          <w:rFonts w:hint="eastAsia" w:ascii="Times New Roman" w:hAnsi="Times New Roman" w:eastAsia="仿宋_GB2312" w:cs="Times New Roman"/>
          <w:kern w:val="2"/>
          <w:sz w:val="32"/>
          <w:szCs w:val="32"/>
          <w:lang w:val="en-US" w:eastAsia="zh-CN" w:bidi="ar-SA"/>
        </w:rPr>
        <w:t>通过发展现代种养业，接二连三，促进二产农产品精深加工业，连接仓储、物流、电商、休闲农业等新业态同步发展构建现代农业产业体系。</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三、下一步工作</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根据您的建议，结合本地实际，我们采取以下措施：</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shd w:val="clear" w:color="auto" w:fill="FFFFFF"/>
          <w:lang w:val="en-US" w:eastAsia="zh-CN" w:bidi="ar-SA"/>
        </w:rPr>
      </w:pPr>
      <w:r>
        <w:rPr>
          <w:rFonts w:hint="eastAsia" w:ascii="楷体_GB2312" w:hAnsi="宋体" w:eastAsia="楷体_GB2312" w:cs="宋体"/>
          <w:kern w:val="0"/>
          <w:sz w:val="32"/>
          <w:szCs w:val="32"/>
          <w:lang w:eastAsia="zh-CN"/>
        </w:rPr>
        <w:t>（一）大力推进食品加工业隆起带建设。</w:t>
      </w:r>
      <w:r>
        <w:rPr>
          <w:rFonts w:hint="eastAsia" w:ascii="仿宋_GB2312" w:hAnsi="仿宋_GB2312" w:eastAsia="仿宋_GB2312" w:cs="仿宋_GB2312"/>
          <w:sz w:val="32"/>
          <w:szCs w:val="32"/>
          <w:lang w:val="en-US" w:eastAsia="zh-CN"/>
        </w:rPr>
        <w:t>按照加工业隆起带发展规划，引导农产品加工企业向优势产区、加工企业聚集区集中，支持企业研发新技术、开发新产品、引进新设备，引领农产品加工业提档升级。鼓励龙头企业与原料生产基地、物流运输企业等展开深度合作，实现产业融合发展。</w:t>
      </w:r>
      <w:r>
        <w:rPr>
          <w:rFonts w:hint="eastAsia" w:ascii="仿宋_GB2312" w:hAnsi="仿宋_GB2312" w:eastAsia="仿宋_GB2312" w:cs="仿宋_GB2312"/>
          <w:color w:val="000000"/>
          <w:kern w:val="0"/>
          <w:sz w:val="32"/>
          <w:szCs w:val="32"/>
          <w:shd w:val="clear" w:color="auto" w:fill="FFFFFF"/>
          <w:lang w:val="en-US" w:eastAsia="zh-CN" w:bidi="ar-SA"/>
        </w:rPr>
        <w:t>用足用好农业产业化政策，通过招商引资上项目、品牌引领壮主体、完善机制提收入等措施，发展“一村一品、一乡一业”，发挥龙头企业带动作用，带动农民增收。构建地方政府、高等院校、科研院所、产业企业的深度融合协同平台，加强农业高新技术产业和企业培育，发挥其辐射带动作用。通过宣传教育、典型示范、优秀鼓励等措施，激发农业产业发展内生动力，助力乡村振兴。</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Arial" w:eastAsia="楷体_GB2312" w:cs="Arial"/>
          <w:sz w:val="32"/>
          <w:szCs w:val="32"/>
          <w:shd w:val="clear" w:color="auto" w:fill="FFFFFF"/>
          <w:lang w:eastAsia="zh-CN"/>
        </w:rPr>
        <w:t>（二）加强人才队伍建设</w:t>
      </w:r>
      <w:r>
        <w:rPr>
          <w:rFonts w:hint="eastAsia" w:ascii="楷体_GB2312" w:hAnsi="Arial" w:eastAsia="楷体_GB2312" w:cs="Arial"/>
          <w:sz w:val="32"/>
          <w:szCs w:val="32"/>
          <w:shd w:val="clear" w:color="auto" w:fill="FFFFFF"/>
        </w:rPr>
        <w:t>。</w:t>
      </w:r>
      <w:r>
        <w:rPr>
          <w:rFonts w:hint="eastAsia" w:ascii="仿宋" w:hAnsi="仿宋" w:eastAsia="仿宋"/>
          <w:b/>
          <w:sz w:val="32"/>
          <w:szCs w:val="32"/>
        </w:rPr>
        <w:t>一是</w:t>
      </w:r>
      <w:r>
        <w:rPr>
          <w:rFonts w:hint="eastAsia" w:ascii="仿宋" w:hAnsi="仿宋" w:eastAsia="仿宋"/>
          <w:sz w:val="32"/>
          <w:szCs w:val="32"/>
        </w:rPr>
        <w:t>积极搭建农业科技创新推广平台</w:t>
      </w:r>
      <w:r>
        <w:rPr>
          <w:rFonts w:hint="eastAsia" w:ascii="仿宋_GB2312" w:hAnsi="仿宋_GB2312" w:eastAsia="仿宋_GB2312" w:cs="仿宋_GB2312"/>
          <w:sz w:val="32"/>
          <w:szCs w:val="32"/>
        </w:rPr>
        <w:t>。构建地方政府、高等院校、科研院所、产业企业的深度融合协同平台。深化与中国农业大学、中国农科院等京津优势科技资源合作，</w:t>
      </w:r>
      <w:r>
        <w:rPr>
          <w:rFonts w:hint="eastAsia" w:ascii="仿宋_GB2312" w:hAnsi="仿宋_GB2312" w:eastAsia="仿宋_GB2312"/>
          <w:sz w:val="32"/>
          <w:szCs w:val="22"/>
        </w:rPr>
        <w:t>强化高层次人才引进，以京津驻冀农业试验基地、农业创新驿站、农业科技小院、产业技术体系等为平台，</w:t>
      </w:r>
      <w:r>
        <w:rPr>
          <w:rFonts w:hint="eastAsia" w:ascii="仿宋_GB2312" w:hAnsi="仿宋_GB2312" w:eastAsia="仿宋_GB2312" w:cs="仿宋_GB2312"/>
          <w:sz w:val="32"/>
          <w:szCs w:val="32"/>
        </w:rPr>
        <w:t>积极引进京津高层次专家，以领军人才或首席专家身份，参与邢台重大农业科技研发推广，带动培养一批本土人才。</w:t>
      </w:r>
      <w:r>
        <w:rPr>
          <w:rFonts w:hint="eastAsia" w:ascii="仿宋_GB2312" w:hAnsi="仿宋_GB2312" w:eastAsia="仿宋_GB2312" w:cs="仿宋_GB2312"/>
          <w:b/>
          <w:sz w:val="32"/>
          <w:szCs w:val="32"/>
        </w:rPr>
        <w:t>二是</w:t>
      </w:r>
      <w:r>
        <w:rPr>
          <w:rFonts w:hint="eastAsia" w:ascii="仿宋_GB2312" w:eastAsia="仿宋_GB2312"/>
          <w:sz w:val="32"/>
        </w:rPr>
        <w:t>发展</w:t>
      </w:r>
      <w:r>
        <w:rPr>
          <w:rFonts w:hint="eastAsia" w:ascii="仿宋_GB2312" w:hAnsi="仿宋_GB2312" w:eastAsia="仿宋_GB2312" w:cs="仿宋_GB2312"/>
          <w:sz w:val="32"/>
          <w:szCs w:val="32"/>
        </w:rPr>
        <w:t>在体系首席专家和岗位专家指导下，吸引广大年轻技术员加入到团队来，围绕制约产业发展的重大技术问题开展联合攻关、技术研发及关键技术的试验示范和推广，实现了“传帮带”，通过构建了可看、可学的科研成果转化和新技术高效示范平台。</w:t>
      </w:r>
      <w:r>
        <w:rPr>
          <w:rFonts w:hint="eastAsia" w:ascii="仿宋_GB2312" w:hAnsi="仿宋_GB2312" w:eastAsia="仿宋_GB2312" w:cs="仿宋_GB2312"/>
          <w:b/>
          <w:sz w:val="32"/>
          <w:szCs w:val="32"/>
        </w:rPr>
        <w:t>三是</w:t>
      </w:r>
      <w:r>
        <w:rPr>
          <w:rFonts w:hint="eastAsia" w:ascii="仿宋_GB2312" w:hAnsi="仿宋_GB2312" w:eastAsia="仿宋_GB2312" w:cs="仿宋_GB2312"/>
          <w:sz w:val="32"/>
          <w:szCs w:val="32"/>
        </w:rPr>
        <w:t>促进科技与产业深度融合。实现农业农村现代化，关键是以农业科技创新促进农业发展方式转变，引导农业向绿色、优质、特色和品牌化发展，形成优质高效、充满活力的现代农业产业体系，促进科技与产业深度融合。既要建设一批农业高新技术产业示范区和农业科技园区，孵化培育一批农业高新技术企业，形成一批带动性强、特色鲜明的农业高新技术产业集群，把农业科技园区建设成为创新创业的重要基地、集聚创新资源的重要载体，又要加强农业高新技术产业和企业培育，将新技术、新品种、新装备应用到生产中去，并发挥其辐射带动作用。</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仿宋_GB2312" w:hAnsi="宋体" w:eastAsia="仿宋_GB2312" w:cs="宋体"/>
          <w:kern w:val="0"/>
          <w:sz w:val="32"/>
          <w:szCs w:val="32"/>
          <w:u w:val="none"/>
          <w:lang w:val="en-US" w:eastAsia="zh-CN" w:bidi="ar-SA"/>
        </w:rPr>
      </w:pPr>
      <w:r>
        <w:rPr>
          <w:rFonts w:hint="eastAsia" w:ascii="楷体_GB2312" w:hAnsi="Arial" w:eastAsia="楷体_GB2312" w:cs="Arial"/>
          <w:sz w:val="32"/>
          <w:szCs w:val="32"/>
          <w:shd w:val="clear" w:color="auto" w:fill="FFFFFF"/>
          <w:lang w:eastAsia="zh-CN"/>
        </w:rPr>
        <w:t>（三）构建现代农业产业体系</w:t>
      </w:r>
      <w:r>
        <w:rPr>
          <w:rFonts w:hint="eastAsia" w:ascii="楷体_GB2312" w:hAnsi="Arial" w:eastAsia="楷体_GB2312" w:cs="Arial"/>
          <w:sz w:val="32"/>
          <w:szCs w:val="32"/>
          <w:shd w:val="clear" w:color="auto" w:fill="FFFFFF"/>
        </w:rPr>
        <w:t>。</w:t>
      </w:r>
      <w:r>
        <w:rPr>
          <w:rFonts w:hint="eastAsia" w:ascii="仿宋_GB2312" w:hAnsi="宋体" w:eastAsia="仿宋_GB2312" w:cs="宋体"/>
          <w:kern w:val="0"/>
          <w:sz w:val="32"/>
          <w:szCs w:val="32"/>
          <w:u w:val="none"/>
          <w:lang w:val="en-US" w:eastAsia="zh-CN" w:bidi="ar-SA"/>
        </w:rPr>
        <w:t>推动农村一二三产业融合发展，离不开专业大户、家庭农场、农民合作社、农业龙头企业等新型农业经营主体的广泛参与。一是加强农业经验主体培育。加强农民合作社示范社和家庭农场建设，提高其经营管理水平和市场竞争能力。通过政策扶持、招商引进、兼并重组、推进上市等途径，着力培育一批在全国同行业中有竞争力的大中型农业产业化重点龙头企业。二是发展特色产业。</w:t>
      </w:r>
      <w:r>
        <w:rPr>
          <w:rFonts w:hint="default" w:ascii="Times New Roman" w:hAnsi="Times New Roman" w:eastAsia="仿宋_GB2312" w:cs="Times New Roman"/>
          <w:b w:val="0"/>
          <w:bCs/>
          <w:color w:val="000000"/>
          <w:sz w:val="32"/>
          <w:szCs w:val="32"/>
          <w:highlight w:val="none"/>
          <w:lang w:val="en-US" w:eastAsia="zh-CN"/>
        </w:rPr>
        <w:t>依托</w:t>
      </w:r>
      <w:r>
        <w:rPr>
          <w:rFonts w:hint="eastAsia" w:ascii="Times New Roman" w:hAnsi="Times New Roman" w:eastAsia="仿宋_GB2312" w:cs="Times New Roman"/>
          <w:b w:val="0"/>
          <w:bCs/>
          <w:color w:val="000000"/>
          <w:sz w:val="32"/>
          <w:szCs w:val="32"/>
          <w:highlight w:val="none"/>
          <w:lang w:val="en-US" w:eastAsia="zh-CN"/>
        </w:rPr>
        <w:t>各地</w:t>
      </w:r>
      <w:r>
        <w:rPr>
          <w:rFonts w:hint="default" w:ascii="Times New Roman" w:hAnsi="Times New Roman" w:eastAsia="仿宋_GB2312" w:cs="Times New Roman"/>
          <w:b w:val="0"/>
          <w:bCs/>
          <w:color w:val="000000"/>
          <w:sz w:val="32"/>
          <w:szCs w:val="32"/>
          <w:highlight w:val="none"/>
          <w:lang w:val="en-US" w:eastAsia="zh-CN"/>
        </w:rPr>
        <w:t>资源</w:t>
      </w:r>
      <w:r>
        <w:rPr>
          <w:rFonts w:hint="eastAsia" w:ascii="Times New Roman" w:hAnsi="Times New Roman" w:eastAsia="仿宋_GB2312" w:cs="Times New Roman"/>
          <w:b w:val="0"/>
          <w:bCs/>
          <w:color w:val="000000"/>
          <w:sz w:val="32"/>
          <w:szCs w:val="32"/>
          <w:highlight w:val="none"/>
          <w:lang w:val="en-US" w:eastAsia="zh-CN"/>
        </w:rPr>
        <w:t>优势</w:t>
      </w:r>
      <w:r>
        <w:rPr>
          <w:rFonts w:hint="eastAsia" w:ascii="Times New Roman" w:hAnsi="Times New Roman" w:eastAsia="仿宋_GB2312" w:cs="Times New Roman"/>
          <w:b w:val="0"/>
          <w:bCs/>
          <w:color w:val="000000"/>
          <w:sz w:val="32"/>
          <w:szCs w:val="32"/>
          <w:lang w:val="en-US" w:eastAsia="zh-CN"/>
        </w:rPr>
        <w:t>，</w:t>
      </w:r>
      <w:r>
        <w:rPr>
          <w:rFonts w:hint="default" w:ascii="Times New Roman" w:hAnsi="Times New Roman" w:eastAsia="仿宋_GB2312" w:cs="Times New Roman"/>
          <w:b w:val="0"/>
          <w:bCs/>
          <w:color w:val="000000"/>
          <w:sz w:val="32"/>
          <w:szCs w:val="32"/>
          <w:highlight w:val="none"/>
          <w:lang w:val="en-US" w:eastAsia="zh-CN"/>
        </w:rPr>
        <w:t>打造</w:t>
      </w:r>
      <w:r>
        <w:rPr>
          <w:rFonts w:hint="eastAsia" w:ascii="Times New Roman" w:hAnsi="Times New Roman" w:eastAsia="仿宋_GB2312" w:cs="Times New Roman"/>
          <w:b w:val="0"/>
          <w:bCs/>
          <w:color w:val="000000"/>
          <w:sz w:val="32"/>
          <w:szCs w:val="32"/>
          <w:highlight w:val="none"/>
          <w:lang w:val="en-US" w:eastAsia="zh-CN"/>
        </w:rPr>
        <w:t>威县威梨、巨鹿金银花、仁泽十字花科蔬菜、南和金米等符合地域特点的乡村</w:t>
      </w:r>
      <w:r>
        <w:rPr>
          <w:rFonts w:hint="default" w:ascii="Times New Roman" w:hAnsi="Times New Roman" w:eastAsia="仿宋_GB2312" w:cs="Times New Roman"/>
          <w:b w:val="0"/>
          <w:bCs/>
          <w:color w:val="000000"/>
          <w:sz w:val="32"/>
          <w:szCs w:val="32"/>
          <w:highlight w:val="none"/>
          <w:lang w:val="en-US" w:eastAsia="zh-CN"/>
        </w:rPr>
        <w:t>产业。</w:t>
      </w:r>
      <w:r>
        <w:rPr>
          <w:rFonts w:hint="eastAsia" w:ascii="Times New Roman" w:hAnsi="Times New Roman" w:eastAsia="仿宋_GB2312" w:cs="Times New Roman"/>
          <w:b w:val="0"/>
          <w:bCs/>
          <w:color w:val="000000"/>
          <w:sz w:val="32"/>
          <w:szCs w:val="32"/>
          <w:highlight w:val="none"/>
          <w:lang w:val="en-US" w:eastAsia="zh-CN"/>
        </w:rPr>
        <w:t>指导</w:t>
      </w:r>
      <w:r>
        <w:rPr>
          <w:rFonts w:hint="eastAsia" w:ascii="仿宋_GB2312" w:hAnsi="仿宋_GB2312" w:eastAsia="仿宋_GB2312" w:cs="仿宋_GB2312"/>
          <w:kern w:val="0"/>
          <w:sz w:val="32"/>
          <w:szCs w:val="32"/>
          <w:lang w:val="en-US" w:eastAsia="zh-CN" w:bidi="ar"/>
        </w:rPr>
        <w:t>建成一批主导产业突出、生产水平领先、融合趋势明显、品牌知名度高、具有较强辐射带动作用的“一村一品”示范村，形成一村带数村、多村连成片的发展格局</w:t>
      </w:r>
      <w:r>
        <w:rPr>
          <w:rFonts w:hint="eastAsia" w:ascii="仿宋_GB2312" w:hAnsi="仿宋_GB2312" w:eastAsia="仿宋_GB2312" w:cs="仿宋_GB2312"/>
          <w:kern w:val="0"/>
          <w:sz w:val="32"/>
          <w:szCs w:val="32"/>
          <w:highlight w:val="none"/>
          <w:lang w:val="en-US" w:eastAsia="zh-CN" w:bidi="ar"/>
        </w:rPr>
        <w:t>。</w:t>
      </w:r>
      <w:r>
        <w:rPr>
          <w:rFonts w:hint="eastAsia" w:ascii="仿宋_GB2312" w:hAnsi="宋体" w:eastAsia="仿宋_GB2312" w:cs="宋体"/>
          <w:kern w:val="0"/>
          <w:sz w:val="32"/>
          <w:szCs w:val="32"/>
          <w:u w:val="none"/>
          <w:lang w:val="en-US" w:eastAsia="zh-CN" w:bidi="ar-SA"/>
        </w:rPr>
        <w:t>三是支持各类业态融合发展。鼓励和支持新型农业经营主体通过多种形式的合作和联合，发展农产品精深加工、建立完善的销售网络、开发乡村旅游和休闲农业，推进新型农业经营主体带动更多的普通农户参与农村一二三产业融合发展。</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仿宋_GB2312" w:hAnsi="楷体" w:eastAsia="仿宋_GB2312" w:cs="楷体"/>
          <w:kern w:val="2"/>
          <w:sz w:val="32"/>
          <w:szCs w:val="32"/>
          <w:lang w:val="en-US" w:eastAsia="zh-CN" w:bidi="ar-SA"/>
        </w:rPr>
      </w:pPr>
      <w:r>
        <w:rPr>
          <w:rFonts w:hint="eastAsia" w:ascii="仿宋_GB2312" w:hAnsi="楷体" w:eastAsia="仿宋_GB2312" w:cs="楷体"/>
          <w:kern w:val="2"/>
          <w:sz w:val="32"/>
          <w:szCs w:val="32"/>
          <w:lang w:val="en-US" w:eastAsia="zh-CN" w:bidi="ar-SA"/>
        </w:rPr>
        <w:t>感谢您对农业农村工作的关心和支持！</w:t>
      </w:r>
    </w:p>
    <w:p>
      <w:pPr>
        <w:pStyle w:val="8"/>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楷体" w:eastAsia="仿宋_GB2312" w:cs="楷体"/>
          <w:kern w:val="2"/>
          <w:sz w:val="32"/>
          <w:szCs w:val="32"/>
          <w:lang w:val="en-US" w:eastAsia="zh-CN" w:bidi="ar-SA"/>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楷体" w:eastAsia="仿宋_GB2312" w:cs="楷体"/>
          <w:kern w:val="2"/>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5120" w:firstLineChars="16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邢台市农业农村局</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5120" w:firstLine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2024年5月30日</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640" w:firstLineChars="200"/>
        <w:rPr>
          <w:rFonts w:hint="eastAsia" w:ascii="仿宋_GB2312" w:hAnsi="仿宋_GB2312" w:eastAsia="仿宋_GB2312" w:cs="仿宋_GB2312"/>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lang w:eastAsia="zh-CN"/>
        </w:rPr>
      </w:pPr>
      <w:r>
        <w:rPr>
          <w:rFonts w:hint="eastAsia" w:ascii="仿宋_GB2312" w:hAnsi="仿宋_GB2312" w:eastAsia="仿宋_GB2312" w:cs="仿宋_GB2312"/>
          <w:spacing w:val="0"/>
          <w:w w:val="100"/>
          <w:position w:val="0"/>
          <w:sz w:val="32"/>
          <w:szCs w:val="32"/>
        </w:rPr>
        <w:t>领导签发：</w:t>
      </w:r>
      <w:r>
        <w:rPr>
          <w:rFonts w:hint="eastAsia" w:ascii="仿宋_GB2312" w:hAnsi="仿宋_GB2312" w:eastAsia="仿宋_GB2312" w:cs="仿宋_GB2312"/>
          <w:spacing w:val="0"/>
          <w:w w:val="100"/>
          <w:position w:val="0"/>
          <w:sz w:val="32"/>
          <w:szCs w:val="32"/>
          <w:lang w:eastAsia="zh-CN"/>
        </w:rPr>
        <w:t>邱海飚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default"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联系人及电话：</w:t>
      </w:r>
      <w:r>
        <w:rPr>
          <w:rFonts w:hint="eastAsia" w:ascii="仿宋_GB2312" w:hAnsi="仿宋_GB2312" w:eastAsia="仿宋_GB2312" w:cs="仿宋_GB2312"/>
          <w:spacing w:val="0"/>
          <w:w w:val="100"/>
          <w:position w:val="0"/>
          <w:sz w:val="32"/>
          <w:szCs w:val="32"/>
          <w:lang w:val="en-US" w:eastAsia="zh-CN"/>
        </w:rPr>
        <w:t>左清飚  3680960</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0"/>
          <w:w w:val="100"/>
          <w:position w:val="0"/>
          <w:sz w:val="32"/>
          <w:szCs w:val="32"/>
        </w:rPr>
        <w:t>抄送：市政府办公室，市政协提案委员会</w:t>
      </w:r>
      <w:r>
        <w:rPr>
          <w:rFonts w:hint="eastAsia" w:ascii="仿宋_GB2312" w:hAnsi="仿宋_GB2312" w:eastAsia="仿宋_GB2312" w:cs="仿宋_GB2312"/>
          <w:spacing w:val="0"/>
          <w:w w:val="100"/>
          <w:position w:val="0"/>
          <w:sz w:val="32"/>
          <w:szCs w:val="32"/>
          <w:lang w:eastAsia="zh-CN"/>
        </w:rPr>
        <w:t>。</w:t>
      </w:r>
    </w:p>
    <w:sectPr>
      <w:footerReference r:id="rId3" w:type="default"/>
      <w:pgSz w:w="11906" w:h="16838"/>
      <w:pgMar w:top="2098" w:right="1531" w:bottom="1984" w:left="1531" w:header="851" w:footer="1701" w:gutter="0"/>
      <w:pgNumType w:fmt="numberInDash"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AszGsKswEAAFIDAAAOAAAAAAAAAAEAIAAAADQBAABkcnMvZTJvRG9j&#10;LnhtbFBLBQYAAAAABgAGAFkBAABZBQAAAAA=&#10;">
              <v:fill on="f" focussize="0,0"/>
              <v:stroke on="f"/>
              <v:imagedata o:title=""/>
              <o:lock v:ext="edit" aspectratio="f"/>
              <v:textbox inset="0mm,0mm,0mm,0mm" style="mso-fit-shape-to-text:t;">
                <w:txbxContent>
                  <w:p>
                    <w:pPr>
                      <w:pStyle w:val="6"/>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301844"/>
    <w:multiLevelType w:val="singleLevel"/>
    <w:tmpl w:val="7130184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34FA248A"/>
    <w:rsid w:val="02094A42"/>
    <w:rsid w:val="06C327CC"/>
    <w:rsid w:val="09970B85"/>
    <w:rsid w:val="0B6131F9"/>
    <w:rsid w:val="0D3F69DC"/>
    <w:rsid w:val="0EB933BE"/>
    <w:rsid w:val="18355BC4"/>
    <w:rsid w:val="1B1453A9"/>
    <w:rsid w:val="1CF42CA9"/>
    <w:rsid w:val="1E4F5A7B"/>
    <w:rsid w:val="1F3A3F16"/>
    <w:rsid w:val="29C16846"/>
    <w:rsid w:val="322746E6"/>
    <w:rsid w:val="32F2699E"/>
    <w:rsid w:val="33B77665"/>
    <w:rsid w:val="34FA248A"/>
    <w:rsid w:val="3CDF1048"/>
    <w:rsid w:val="419130BC"/>
    <w:rsid w:val="472E289A"/>
    <w:rsid w:val="4B554F7D"/>
    <w:rsid w:val="4F0A287C"/>
    <w:rsid w:val="500A3750"/>
    <w:rsid w:val="564477C4"/>
    <w:rsid w:val="5A577137"/>
    <w:rsid w:val="65D04404"/>
    <w:rsid w:val="6A516D7C"/>
    <w:rsid w:val="6EC10D12"/>
    <w:rsid w:val="78291AB0"/>
    <w:rsid w:val="78EC5072"/>
    <w:rsid w:val="7A84390D"/>
    <w:rsid w:val="7DDF44F9"/>
    <w:rsid w:val="7DEFB3CA"/>
    <w:rsid w:val="7F7D3F8B"/>
    <w:rsid w:val="D29F5E01"/>
    <w:rsid w:val="DF7F6049"/>
    <w:rsid w:val="DFE9418B"/>
    <w:rsid w:val="FFFE1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1"/>
    <w:qFormat/>
    <w:uiPriority w:val="0"/>
    <w:pPr>
      <w:spacing w:after="120" w:afterLines="0" w:afterAutospacing="0"/>
      <w:ind w:left="420" w:leftChars="200"/>
    </w:pPr>
  </w:style>
  <w:style w:type="paragraph" w:styleId="4">
    <w:name w:val="Normal Indent"/>
    <w:basedOn w:val="1"/>
    <w:next w:val="5"/>
    <w:qFormat/>
    <w:uiPriority w:val="99"/>
    <w:pPr>
      <w:spacing w:after="120"/>
      <w:ind w:left="420"/>
    </w:p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
    <w:name w:val="Plain Text1"/>
    <w:basedOn w:val="1"/>
    <w:qFormat/>
    <w:uiPriority w:val="0"/>
    <w:rPr>
      <w:rFonts w:ascii="宋体" w:hAnsi="Courier New" w:cs="Courier New"/>
      <w:szCs w:val="21"/>
    </w:rPr>
  </w:style>
  <w:style w:type="paragraph" w:customStyle="1" w:styleId="12">
    <w:name w:val="Body Text First Indent 21"/>
    <w:basedOn w:val="13"/>
    <w:qFormat/>
    <w:uiPriority w:val="0"/>
    <w:pPr>
      <w:ind w:firstLine="420" w:firstLineChars="200"/>
    </w:pPr>
  </w:style>
  <w:style w:type="paragraph" w:customStyle="1" w:styleId="13">
    <w:name w:val="Body Text Indent1"/>
    <w:basedOn w:val="1"/>
    <w:qFormat/>
    <w:uiPriority w:val="0"/>
    <w:pPr>
      <w:spacing w:after="120" w:afterLines="0"/>
      <w:ind w:left="420" w:leftChars="200"/>
    </w:pPr>
  </w:style>
  <w:style w:type="paragraph" w:customStyle="1" w:styleId="14">
    <w:name w:val="BodyText1I2"/>
    <w:basedOn w:val="15"/>
    <w:next w:val="1"/>
    <w:qFormat/>
    <w:uiPriority w:val="0"/>
    <w:pPr>
      <w:spacing w:after="120"/>
      <w:ind w:left="0" w:leftChars="0" w:firstLine="420" w:firstLineChars="200"/>
      <w:jc w:val="both"/>
      <w:textAlignment w:val="baseline"/>
    </w:pPr>
  </w:style>
  <w:style w:type="paragraph" w:customStyle="1" w:styleId="15">
    <w:name w:val="BodyTextIndent"/>
    <w:basedOn w:val="1"/>
    <w:qFormat/>
    <w:uiPriority w:val="0"/>
    <w:pPr>
      <w:spacing w:after="120"/>
      <w:ind w:left="420" w:leftChars="200"/>
      <w:jc w:val="both"/>
      <w:textAlignment w:val="baseline"/>
    </w:pPr>
  </w:style>
  <w:style w:type="paragraph" w:customStyle="1" w:styleId="16">
    <w:name w:val="纯文本1"/>
    <w:basedOn w:val="1"/>
    <w:qFormat/>
    <w:uiPriority w:val="99"/>
    <w:rPr>
      <w:rFonts w:ascii="宋体" w:hAnsi="Courier New" w:cs="Courier New"/>
      <w:szCs w:val="21"/>
    </w:rPr>
  </w:style>
  <w:style w:type="paragraph" w:customStyle="1" w:styleId="17">
    <w:name w:val="Default"/>
    <w:qFormat/>
    <w:uiPriority w:val="0"/>
    <w:pPr>
      <w:widowControl w:val="0"/>
      <w:autoSpaceDE w:val="0"/>
      <w:autoSpaceDN w:val="0"/>
      <w:adjustRightInd w:val="0"/>
      <w:spacing w:line="240" w:lineRule="atLeast"/>
      <w:jc w:val="center"/>
    </w:pPr>
    <w:rPr>
      <w:rFonts w:ascii="Times New Roman" w:hAnsi="Calibri" w:eastAsia="宋体" w:cs="Times New Roman"/>
      <w:sz w:val="21"/>
      <w:szCs w:val="22"/>
      <w:lang w:val="en-US" w:eastAsia="zh-CN" w:bidi="ar-SA"/>
    </w:rPr>
  </w:style>
  <w:style w:type="character" w:customStyle="1" w:styleId="18">
    <w:name w:val="NormalCharacter"/>
    <w:link w:val="19"/>
    <w:semiHidden/>
    <w:qFormat/>
    <w:uiPriority w:val="0"/>
    <w:rPr>
      <w:rFonts w:ascii="宋体" w:hAnsi="Calibri" w:eastAsia="宋体" w:cs="Times New Roman"/>
      <w:sz w:val="21"/>
      <w:szCs w:val="22"/>
      <w:lang w:val="en-US" w:eastAsia="zh-CN" w:bidi="ar-SA"/>
    </w:rPr>
  </w:style>
  <w:style w:type="paragraph" w:customStyle="1" w:styleId="19">
    <w:name w:val="UserStyle_4"/>
    <w:link w:val="18"/>
    <w:qFormat/>
    <w:uiPriority w:val="0"/>
    <w:pPr>
      <w:spacing w:line="240" w:lineRule="atLeast"/>
      <w:jc w:val="center"/>
      <w:textAlignment w:val="baseline"/>
    </w:pPr>
    <w:rPr>
      <w:rFonts w:ascii="宋体" w:hAnsi="Calibri"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2024-04-30T03:25:00Z</dcterms:created>
  <dc:creator>左清飚</dc:creator>
  <cp:lastModifiedBy>ncj</cp:lastModifiedBy>
  <cp:lastPrinted>2024-06-07T19:18:00Z</cp:lastPrinted>
  <dcterms:modified xsi:type="dcterms:W3CDTF">2024-06-07T13:09:51Z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24B6222E89FA458DA4892F67FDD7B313_13</vt:lpwstr>
  </property>
</Properties>
</file>