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8"/>
          <w:szCs w:val="48"/>
        </w:rPr>
      </w:pPr>
      <w:r>
        <w:rPr>
          <w:rFonts w:hint="eastAsia"/>
          <w:color w:val="auto"/>
          <w:sz w:val="48"/>
          <w:szCs w:val="48"/>
        </w:rPr>
        <w:t>邢台市农业农村局采购报价单</w:t>
      </w:r>
    </w:p>
    <w:p>
      <w:pPr>
        <w:jc w:val="center"/>
        <w:rPr>
          <w:color w:val="auto"/>
        </w:rPr>
      </w:pPr>
    </w:p>
    <w:tbl>
      <w:tblPr>
        <w:tblStyle w:val="3"/>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41"/>
        <w:gridCol w:w="2265"/>
        <w:gridCol w:w="1245"/>
        <w:gridCol w:w="765"/>
        <w:gridCol w:w="124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color w:val="auto"/>
                <w:sz w:val="24"/>
              </w:rPr>
            </w:pPr>
            <w:r>
              <w:rPr>
                <w:rFonts w:hint="eastAsia"/>
                <w:color w:val="auto"/>
                <w:sz w:val="24"/>
              </w:rPr>
              <w:t>序号</w:t>
            </w:r>
          </w:p>
        </w:tc>
        <w:tc>
          <w:tcPr>
            <w:tcW w:w="3206" w:type="dxa"/>
            <w:gridSpan w:val="2"/>
            <w:vAlign w:val="center"/>
          </w:tcPr>
          <w:p>
            <w:pPr>
              <w:jc w:val="center"/>
              <w:rPr>
                <w:color w:val="auto"/>
                <w:sz w:val="24"/>
              </w:rPr>
            </w:pPr>
            <w:r>
              <w:rPr>
                <w:rFonts w:hint="eastAsia"/>
                <w:color w:val="auto"/>
                <w:sz w:val="24"/>
              </w:rPr>
              <w:t>名称</w:t>
            </w:r>
          </w:p>
        </w:tc>
        <w:tc>
          <w:tcPr>
            <w:tcW w:w="1245" w:type="dxa"/>
            <w:vAlign w:val="center"/>
          </w:tcPr>
          <w:p>
            <w:pPr>
              <w:jc w:val="center"/>
              <w:rPr>
                <w:color w:val="auto"/>
                <w:sz w:val="24"/>
              </w:rPr>
            </w:pPr>
            <w:r>
              <w:rPr>
                <w:rFonts w:hint="eastAsia"/>
                <w:color w:val="auto"/>
                <w:sz w:val="24"/>
              </w:rPr>
              <w:t>数量</w:t>
            </w:r>
          </w:p>
        </w:tc>
        <w:tc>
          <w:tcPr>
            <w:tcW w:w="765" w:type="dxa"/>
            <w:vAlign w:val="center"/>
          </w:tcPr>
          <w:p>
            <w:pPr>
              <w:rPr>
                <w:color w:val="auto"/>
                <w:sz w:val="24"/>
              </w:rPr>
            </w:pPr>
            <w:r>
              <w:rPr>
                <w:rFonts w:hint="eastAsia"/>
                <w:color w:val="auto"/>
                <w:sz w:val="24"/>
              </w:rPr>
              <w:t>单位</w:t>
            </w:r>
          </w:p>
        </w:tc>
        <w:tc>
          <w:tcPr>
            <w:tcW w:w="1249" w:type="dxa"/>
            <w:vAlign w:val="center"/>
          </w:tcPr>
          <w:p>
            <w:pPr>
              <w:jc w:val="center"/>
              <w:rPr>
                <w:color w:val="auto"/>
                <w:sz w:val="24"/>
              </w:rPr>
            </w:pPr>
            <w:r>
              <w:rPr>
                <w:rFonts w:hint="eastAsia"/>
                <w:color w:val="auto"/>
                <w:sz w:val="24"/>
              </w:rPr>
              <w:t>单价（元）</w:t>
            </w:r>
          </w:p>
        </w:tc>
        <w:tc>
          <w:tcPr>
            <w:tcW w:w="1200" w:type="dxa"/>
            <w:vAlign w:val="center"/>
          </w:tcPr>
          <w:p>
            <w:pPr>
              <w:jc w:val="center"/>
              <w:rPr>
                <w:color w:val="auto"/>
                <w:sz w:val="24"/>
              </w:rPr>
            </w:pPr>
            <w:r>
              <w:rPr>
                <w:rFonts w:hint="eastAsia"/>
                <w:color w:val="auto"/>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widowControl/>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1</w:t>
            </w:r>
          </w:p>
        </w:tc>
        <w:tc>
          <w:tcPr>
            <w:tcW w:w="3206" w:type="dxa"/>
            <w:gridSpan w:val="2"/>
            <w:vAlign w:val="center"/>
          </w:tcPr>
          <w:p>
            <w:pPr>
              <w:widowControl/>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2023年</w:t>
            </w:r>
            <w:r>
              <w:rPr>
                <w:rFonts w:hint="eastAsia" w:ascii="Times New Roman" w:hAnsi="Times New Roman" w:eastAsia="宋体" w:cs="Times New Roman"/>
                <w:color w:val="auto"/>
                <w:kern w:val="0"/>
                <w:sz w:val="24"/>
                <w:lang w:eastAsia="zh-CN"/>
              </w:rPr>
              <w:t>邢台市</w:t>
            </w:r>
            <w:r>
              <w:rPr>
                <w:rFonts w:hint="eastAsia" w:ascii="Times New Roman" w:hAnsi="Times New Roman" w:eastAsia="宋体" w:cs="Times New Roman"/>
                <w:color w:val="auto"/>
                <w:kern w:val="0"/>
                <w:sz w:val="24"/>
              </w:rPr>
              <w:t>第</w:t>
            </w:r>
            <w:r>
              <w:rPr>
                <w:rFonts w:hint="eastAsia" w:ascii="Times New Roman" w:hAnsi="Times New Roman" w:eastAsia="宋体" w:cs="Times New Roman"/>
                <w:color w:val="auto"/>
                <w:kern w:val="0"/>
                <w:sz w:val="24"/>
                <w:lang w:eastAsia="zh-CN"/>
              </w:rPr>
              <w:t>二</w:t>
            </w:r>
            <w:r>
              <w:rPr>
                <w:rFonts w:hint="eastAsia" w:ascii="Times New Roman" w:hAnsi="Times New Roman" w:eastAsia="宋体" w:cs="Times New Roman"/>
                <w:color w:val="auto"/>
                <w:kern w:val="0"/>
                <w:sz w:val="24"/>
              </w:rPr>
              <w:t>批高标准农田建设项目初步设计评审</w:t>
            </w:r>
          </w:p>
        </w:tc>
        <w:tc>
          <w:tcPr>
            <w:tcW w:w="1245" w:type="dxa"/>
            <w:vAlign w:val="center"/>
          </w:tcPr>
          <w:p>
            <w:pPr>
              <w:widowControl/>
              <w:jc w:val="center"/>
              <w:textAlignment w:val="center"/>
              <w:rPr>
                <w:rFonts w:hint="eastAsia" w:eastAsiaTheme="minorEastAsia"/>
                <w:color w:val="auto"/>
                <w:sz w:val="24"/>
                <w:lang w:eastAsia="zh-CN"/>
              </w:rPr>
            </w:pPr>
            <w:r>
              <w:rPr>
                <w:rFonts w:hint="eastAsia"/>
                <w:color w:val="auto"/>
                <w:sz w:val="24"/>
              </w:rPr>
              <w:t>1</w:t>
            </w:r>
            <w:r>
              <w:rPr>
                <w:rFonts w:hint="eastAsia"/>
                <w:color w:val="auto"/>
                <w:sz w:val="24"/>
                <w:lang w:val="en-US" w:eastAsia="zh-CN"/>
              </w:rPr>
              <w:t>3</w:t>
            </w:r>
          </w:p>
        </w:tc>
        <w:tc>
          <w:tcPr>
            <w:tcW w:w="765" w:type="dxa"/>
            <w:vAlign w:val="center"/>
          </w:tcPr>
          <w:p>
            <w:pPr>
              <w:widowControl/>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个</w:t>
            </w:r>
          </w:p>
        </w:tc>
        <w:tc>
          <w:tcPr>
            <w:tcW w:w="1249" w:type="dxa"/>
            <w:vAlign w:val="center"/>
          </w:tcPr>
          <w:p>
            <w:pPr>
              <w:jc w:val="center"/>
              <w:rPr>
                <w:color w:val="auto"/>
                <w:sz w:val="24"/>
              </w:rPr>
            </w:pPr>
          </w:p>
        </w:tc>
        <w:tc>
          <w:tcPr>
            <w:tcW w:w="1200" w:type="dxa"/>
            <w:vAlign w:val="center"/>
          </w:tcPr>
          <w:p>
            <w:pPr>
              <w:jc w:val="center"/>
              <w:rPr>
                <w:rFonts w:hint="default" w:eastAsiaTheme="minorEastAsia"/>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color w:val="auto"/>
                <w:sz w:val="24"/>
              </w:rPr>
            </w:pPr>
            <w:r>
              <w:rPr>
                <w:rFonts w:hint="eastAsia"/>
                <w:color w:val="auto"/>
                <w:sz w:val="24"/>
              </w:rPr>
              <w:t>2</w:t>
            </w:r>
          </w:p>
        </w:tc>
        <w:tc>
          <w:tcPr>
            <w:tcW w:w="3206" w:type="dxa"/>
            <w:gridSpan w:val="2"/>
            <w:vAlign w:val="center"/>
          </w:tcPr>
          <w:p>
            <w:pPr>
              <w:widowControl/>
              <w:jc w:val="center"/>
              <w:textAlignment w:val="center"/>
              <w:rPr>
                <w:color w:val="auto"/>
                <w:sz w:val="24"/>
              </w:rPr>
            </w:pPr>
          </w:p>
        </w:tc>
        <w:tc>
          <w:tcPr>
            <w:tcW w:w="1245" w:type="dxa"/>
            <w:vAlign w:val="center"/>
          </w:tcPr>
          <w:p>
            <w:pPr>
              <w:widowControl/>
              <w:jc w:val="center"/>
              <w:textAlignment w:val="center"/>
              <w:rPr>
                <w:color w:val="auto"/>
                <w:sz w:val="24"/>
              </w:rPr>
            </w:pPr>
          </w:p>
        </w:tc>
        <w:tc>
          <w:tcPr>
            <w:tcW w:w="765" w:type="dxa"/>
            <w:vAlign w:val="center"/>
          </w:tcPr>
          <w:p>
            <w:pPr>
              <w:widowControl/>
              <w:jc w:val="center"/>
              <w:textAlignment w:val="center"/>
              <w:rPr>
                <w:rFonts w:ascii="Times New Roman" w:hAnsi="Times New Roman" w:eastAsia="宋体" w:cs="Times New Roman"/>
                <w:color w:val="auto"/>
                <w:kern w:val="0"/>
                <w:sz w:val="24"/>
              </w:rPr>
            </w:pPr>
          </w:p>
        </w:tc>
        <w:tc>
          <w:tcPr>
            <w:tcW w:w="1249" w:type="dxa"/>
            <w:vAlign w:val="center"/>
          </w:tcPr>
          <w:p>
            <w:pPr>
              <w:jc w:val="center"/>
              <w:rPr>
                <w:color w:val="auto"/>
                <w:sz w:val="24"/>
              </w:rPr>
            </w:pPr>
          </w:p>
        </w:tc>
        <w:tc>
          <w:tcPr>
            <w:tcW w:w="1200"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color w:val="auto"/>
                <w:sz w:val="24"/>
              </w:rPr>
            </w:pPr>
            <w:r>
              <w:rPr>
                <w:rFonts w:hint="eastAsia"/>
                <w:color w:val="auto"/>
                <w:sz w:val="24"/>
              </w:rPr>
              <w:t>3</w:t>
            </w:r>
          </w:p>
        </w:tc>
        <w:tc>
          <w:tcPr>
            <w:tcW w:w="3206" w:type="dxa"/>
            <w:gridSpan w:val="2"/>
            <w:vAlign w:val="center"/>
          </w:tcPr>
          <w:p>
            <w:pPr>
              <w:widowControl/>
              <w:jc w:val="center"/>
              <w:textAlignment w:val="center"/>
              <w:rPr>
                <w:rFonts w:eastAsia="仿宋_GB2312"/>
                <w:color w:val="auto"/>
                <w:sz w:val="24"/>
              </w:rPr>
            </w:pPr>
          </w:p>
        </w:tc>
        <w:tc>
          <w:tcPr>
            <w:tcW w:w="1245" w:type="dxa"/>
            <w:vAlign w:val="center"/>
          </w:tcPr>
          <w:p>
            <w:pPr>
              <w:widowControl/>
              <w:jc w:val="center"/>
              <w:textAlignment w:val="center"/>
              <w:rPr>
                <w:color w:val="auto"/>
                <w:sz w:val="24"/>
              </w:rPr>
            </w:pPr>
          </w:p>
        </w:tc>
        <w:tc>
          <w:tcPr>
            <w:tcW w:w="765" w:type="dxa"/>
            <w:vAlign w:val="center"/>
          </w:tcPr>
          <w:p>
            <w:pPr>
              <w:widowControl/>
              <w:jc w:val="center"/>
              <w:textAlignment w:val="center"/>
              <w:rPr>
                <w:rFonts w:ascii="Times New Roman" w:hAnsi="Times New Roman" w:eastAsia="宋体" w:cs="Times New Roman"/>
                <w:color w:val="auto"/>
                <w:kern w:val="0"/>
                <w:sz w:val="24"/>
              </w:rPr>
            </w:pPr>
          </w:p>
        </w:tc>
        <w:tc>
          <w:tcPr>
            <w:tcW w:w="1249" w:type="dxa"/>
            <w:vAlign w:val="center"/>
          </w:tcPr>
          <w:p>
            <w:pPr>
              <w:jc w:val="center"/>
              <w:rPr>
                <w:color w:val="auto"/>
                <w:sz w:val="24"/>
              </w:rPr>
            </w:pPr>
          </w:p>
        </w:tc>
        <w:tc>
          <w:tcPr>
            <w:tcW w:w="1200"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color w:val="auto"/>
                <w:sz w:val="24"/>
              </w:rPr>
            </w:pPr>
            <w:r>
              <w:rPr>
                <w:rFonts w:hint="eastAsia"/>
                <w:color w:val="auto"/>
                <w:sz w:val="24"/>
              </w:rPr>
              <w:t>4</w:t>
            </w:r>
          </w:p>
        </w:tc>
        <w:tc>
          <w:tcPr>
            <w:tcW w:w="3206" w:type="dxa"/>
            <w:gridSpan w:val="2"/>
            <w:vAlign w:val="center"/>
          </w:tcPr>
          <w:p>
            <w:pPr>
              <w:widowControl/>
              <w:jc w:val="center"/>
              <w:textAlignment w:val="center"/>
              <w:rPr>
                <w:color w:val="auto"/>
                <w:sz w:val="24"/>
              </w:rPr>
            </w:pPr>
          </w:p>
        </w:tc>
        <w:tc>
          <w:tcPr>
            <w:tcW w:w="1245" w:type="dxa"/>
            <w:vAlign w:val="center"/>
          </w:tcPr>
          <w:p>
            <w:pPr>
              <w:widowControl/>
              <w:jc w:val="center"/>
              <w:textAlignment w:val="center"/>
              <w:rPr>
                <w:color w:val="auto"/>
                <w:sz w:val="24"/>
              </w:rPr>
            </w:pPr>
          </w:p>
        </w:tc>
        <w:tc>
          <w:tcPr>
            <w:tcW w:w="765" w:type="dxa"/>
            <w:vAlign w:val="center"/>
          </w:tcPr>
          <w:p>
            <w:pPr>
              <w:widowControl/>
              <w:jc w:val="center"/>
              <w:textAlignment w:val="center"/>
              <w:rPr>
                <w:rFonts w:ascii="Times New Roman" w:hAnsi="Times New Roman" w:eastAsia="宋体" w:cs="Times New Roman"/>
                <w:color w:val="auto"/>
                <w:kern w:val="0"/>
                <w:sz w:val="24"/>
              </w:rPr>
            </w:pPr>
          </w:p>
        </w:tc>
        <w:tc>
          <w:tcPr>
            <w:tcW w:w="1249" w:type="dxa"/>
            <w:vAlign w:val="center"/>
          </w:tcPr>
          <w:p>
            <w:pPr>
              <w:jc w:val="center"/>
              <w:rPr>
                <w:color w:val="auto"/>
                <w:sz w:val="24"/>
              </w:rPr>
            </w:pPr>
          </w:p>
        </w:tc>
        <w:tc>
          <w:tcPr>
            <w:tcW w:w="1200"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88" w:type="dxa"/>
            <w:vAlign w:val="center"/>
          </w:tcPr>
          <w:p>
            <w:pPr>
              <w:jc w:val="center"/>
              <w:rPr>
                <w:color w:val="auto"/>
                <w:sz w:val="24"/>
              </w:rPr>
            </w:pPr>
            <w:r>
              <w:rPr>
                <w:rFonts w:hint="eastAsia"/>
                <w:color w:val="auto"/>
                <w:sz w:val="24"/>
              </w:rPr>
              <w:t>合计</w:t>
            </w:r>
          </w:p>
        </w:tc>
        <w:tc>
          <w:tcPr>
            <w:tcW w:w="7665" w:type="dxa"/>
            <w:gridSpan w:val="6"/>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88" w:type="dxa"/>
            <w:vAlign w:val="center"/>
          </w:tcPr>
          <w:p>
            <w:pPr>
              <w:jc w:val="center"/>
              <w:rPr>
                <w:color w:val="auto"/>
                <w:sz w:val="24"/>
              </w:rPr>
            </w:pPr>
            <w:r>
              <w:rPr>
                <w:rFonts w:hint="eastAsia"/>
                <w:b/>
                <w:bCs/>
                <w:color w:val="auto"/>
                <w:szCs w:val="21"/>
              </w:rPr>
              <w:t>总金额大写</w:t>
            </w:r>
          </w:p>
        </w:tc>
        <w:tc>
          <w:tcPr>
            <w:tcW w:w="7665" w:type="dxa"/>
            <w:gridSpan w:val="6"/>
            <w:vAlign w:val="center"/>
          </w:tcPr>
          <w:p>
            <w:pPr>
              <w:jc w:val="center"/>
              <w:rPr>
                <w:rFonts w:hint="eastAsia" w:eastAsiaTheme="minorEastAsia"/>
                <w:color w:val="auto"/>
                <w:sz w:val="24"/>
                <w:lang w:eastAsia="zh-CN"/>
              </w:rPr>
            </w:pPr>
            <w:r>
              <w:rPr>
                <w:rFonts w:hint="eastAsia"/>
                <w:color w:val="auto"/>
                <w:sz w:val="24"/>
                <w:lang w:eastAsia="zh-CN"/>
              </w:rPr>
              <w:t>肆万肆仟贰佰元整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4194" w:type="dxa"/>
            <w:gridSpan w:val="3"/>
            <w:vAlign w:val="center"/>
          </w:tcPr>
          <w:p>
            <w:pPr>
              <w:jc w:val="center"/>
              <w:rPr>
                <w:color w:val="auto"/>
                <w:sz w:val="32"/>
                <w:szCs w:val="32"/>
              </w:rPr>
            </w:pPr>
            <w:r>
              <w:rPr>
                <w:rFonts w:hint="eastAsia"/>
                <w:color w:val="auto"/>
                <w:sz w:val="32"/>
                <w:szCs w:val="32"/>
              </w:rPr>
              <w:t>报名单位（单位公章）</w:t>
            </w:r>
          </w:p>
          <w:p>
            <w:pPr>
              <w:jc w:val="center"/>
              <w:rPr>
                <w:color w:val="auto"/>
                <w:sz w:val="32"/>
                <w:szCs w:val="32"/>
              </w:rPr>
            </w:pPr>
          </w:p>
          <w:p>
            <w:pPr>
              <w:ind w:firstLine="1280" w:firstLineChars="400"/>
              <w:rPr>
                <w:color w:val="auto"/>
                <w:sz w:val="32"/>
                <w:szCs w:val="32"/>
              </w:rPr>
            </w:pPr>
            <w:r>
              <w:rPr>
                <w:rFonts w:hint="eastAsia"/>
                <w:color w:val="auto"/>
                <w:sz w:val="32"/>
                <w:szCs w:val="32"/>
              </w:rPr>
              <w:t>年    月    日</w:t>
            </w:r>
          </w:p>
        </w:tc>
        <w:tc>
          <w:tcPr>
            <w:tcW w:w="4459" w:type="dxa"/>
            <w:gridSpan w:val="4"/>
            <w:vAlign w:val="center"/>
          </w:tcPr>
          <w:p>
            <w:pPr>
              <w:jc w:val="center"/>
              <w:rPr>
                <w:color w:val="auto"/>
                <w:sz w:val="32"/>
                <w:szCs w:val="32"/>
              </w:rPr>
            </w:pPr>
            <w:r>
              <w:rPr>
                <w:rFonts w:hint="eastAsia"/>
                <w:color w:val="auto"/>
                <w:sz w:val="32"/>
                <w:szCs w:val="32"/>
              </w:rPr>
              <w:t>法人代表（签字或盖章）</w:t>
            </w:r>
          </w:p>
          <w:p>
            <w:pPr>
              <w:jc w:val="center"/>
              <w:rPr>
                <w:color w:val="auto"/>
                <w:sz w:val="32"/>
                <w:szCs w:val="32"/>
              </w:rPr>
            </w:pPr>
          </w:p>
          <w:p>
            <w:pPr>
              <w:jc w:val="center"/>
              <w:rPr>
                <w:color w:val="auto"/>
                <w:sz w:val="32"/>
                <w:szCs w:val="32"/>
              </w:rPr>
            </w:pPr>
            <w:r>
              <w:rPr>
                <w:rFonts w:hint="eastAsia"/>
                <w:color w:val="auto"/>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29" w:type="dxa"/>
            <w:gridSpan w:val="2"/>
            <w:vAlign w:val="center"/>
          </w:tcPr>
          <w:p>
            <w:pPr>
              <w:jc w:val="center"/>
              <w:rPr>
                <w:color w:val="auto"/>
                <w:sz w:val="32"/>
                <w:szCs w:val="32"/>
              </w:rPr>
            </w:pPr>
            <w:r>
              <w:rPr>
                <w:rFonts w:hint="eastAsia"/>
                <w:color w:val="auto"/>
                <w:sz w:val="32"/>
                <w:szCs w:val="32"/>
              </w:rPr>
              <w:t>电话</w:t>
            </w:r>
          </w:p>
        </w:tc>
        <w:tc>
          <w:tcPr>
            <w:tcW w:w="6724" w:type="dxa"/>
            <w:gridSpan w:val="5"/>
            <w:vAlign w:val="center"/>
          </w:tcPr>
          <w:p>
            <w:pPr>
              <w:rPr>
                <w:color w:val="auto"/>
                <w:sz w:val="32"/>
                <w:szCs w:val="32"/>
              </w:rPr>
            </w:pPr>
          </w:p>
        </w:tc>
      </w:tr>
    </w:tbl>
    <w:p>
      <w:pPr>
        <w:rPr>
          <w:color w:val="auto"/>
        </w:rPr>
      </w:pPr>
    </w:p>
    <w:p>
      <w:pPr>
        <w:rPr>
          <w:rFonts w:ascii="仿宋" w:hAnsi="仿宋" w:eastAsia="仿宋" w:cs="仿宋"/>
          <w:color w:val="auto"/>
          <w:sz w:val="24"/>
        </w:rPr>
      </w:pPr>
      <w:r>
        <w:rPr>
          <w:rFonts w:hint="eastAsia" w:ascii="仿宋" w:hAnsi="仿宋" w:eastAsia="仿宋" w:cs="仿宋"/>
          <w:color w:val="auto"/>
          <w:sz w:val="24"/>
        </w:rPr>
        <w:t>注：1、此次报价为一次性报价，报价后不得更改，如有更改按报价无效处理。报价总金额（大写与小写不一致）、单价错误，以大写为准，如大写错误按报价无效处理。</w:t>
      </w:r>
    </w:p>
    <w:p>
      <w:pPr>
        <w:ind w:firstLine="480" w:firstLineChars="200"/>
        <w:rPr>
          <w:rFonts w:ascii="仿宋" w:hAnsi="仿宋" w:eastAsia="仿宋" w:cs="仿宋"/>
          <w:color w:val="auto"/>
          <w:sz w:val="24"/>
        </w:rPr>
      </w:pPr>
      <w:r>
        <w:rPr>
          <w:rFonts w:hint="eastAsia" w:ascii="仿宋" w:hAnsi="仿宋" w:eastAsia="仿宋" w:cs="仿宋"/>
          <w:color w:val="auto"/>
          <w:sz w:val="24"/>
        </w:rPr>
        <w:t>2、报价单必须盖有报价单位公章，电话、姓名、公章（签字）。报价单后附有符合《中华人民共和国政府采购法》第二十二条规定的条件，有承担项目能力、良好资信、能独立承担民事责任，并具备以下条件：具有独立法人或负责人的营业执照，组织机构代码证，税务登记证、(或三证合一的营业执照)、等相关手续需盖章。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报价单与本次报价单不一致的、如不是法人签字或盖章必须有法人委托书。</w:t>
      </w:r>
    </w:p>
    <w:p>
      <w:pPr>
        <w:ind w:firstLine="480" w:firstLineChars="200"/>
        <w:rPr>
          <w:rFonts w:ascii="仿宋" w:hAnsi="仿宋" w:eastAsia="仿宋" w:cs="仿宋"/>
          <w:color w:val="auto"/>
          <w:sz w:val="24"/>
        </w:rPr>
      </w:pPr>
      <w:r>
        <w:rPr>
          <w:rFonts w:hint="eastAsia" w:ascii="仿宋" w:hAnsi="仿宋" w:eastAsia="仿宋" w:cs="仿宋"/>
          <w:color w:val="auto"/>
          <w:sz w:val="24"/>
        </w:rPr>
        <w:t>3、项目要求：本次报价总金额不得高于4.</w:t>
      </w:r>
      <w:r>
        <w:rPr>
          <w:rFonts w:hint="eastAsia" w:ascii="仿宋" w:hAnsi="仿宋" w:eastAsia="仿宋" w:cs="仿宋"/>
          <w:color w:val="auto"/>
          <w:sz w:val="24"/>
          <w:lang w:val="en-US" w:eastAsia="zh-CN"/>
        </w:rPr>
        <w:t>615</w:t>
      </w:r>
      <w:bookmarkStart w:id="0" w:name="_GoBack"/>
      <w:bookmarkEnd w:id="0"/>
      <w:r>
        <w:rPr>
          <w:rFonts w:hint="eastAsia" w:ascii="仿宋" w:hAnsi="仿宋" w:eastAsia="仿宋" w:cs="仿宋"/>
          <w:color w:val="auto"/>
          <w:sz w:val="24"/>
        </w:rPr>
        <w:t>万元，高于视为无效。不符合采购需求、质量和服务的按无效处理。本次采购价低者为供货(服务)单位。</w:t>
      </w:r>
    </w:p>
    <w:p>
      <w:pPr>
        <w:rPr>
          <w:color w:val="auto"/>
        </w:rPr>
      </w:pPr>
    </w:p>
    <w:p>
      <w:pPr>
        <w:rPr>
          <w:color w:val="auto"/>
        </w:rPr>
      </w:pPr>
    </w:p>
    <w:p>
      <w:pPr>
        <w:rPr>
          <w:color w:val="auto"/>
        </w:rPr>
      </w:pPr>
    </w:p>
    <w:p>
      <w:pPr>
        <w:rPr>
          <w:color w:val="auto"/>
        </w:rPr>
      </w:pPr>
    </w:p>
    <w:p>
      <w:pPr>
        <w:rPr>
          <w:color w:val="auto"/>
        </w:rPr>
      </w:pPr>
    </w:p>
    <w:p>
      <w:pPr>
        <w:jc w:val="center"/>
        <w:rPr>
          <w:rFonts w:ascii="宋体" w:hAnsi="宋体" w:eastAsia="宋体" w:cs="宋体"/>
          <w:b/>
          <w:color w:val="auto"/>
          <w:sz w:val="44"/>
          <w:szCs w:val="44"/>
        </w:rPr>
      </w:pPr>
      <w:r>
        <w:rPr>
          <w:rFonts w:hint="eastAsia" w:ascii="宋体" w:hAnsi="宋体" w:eastAsia="宋体" w:cs="宋体"/>
          <w:b/>
          <w:color w:val="auto"/>
          <w:sz w:val="44"/>
          <w:szCs w:val="44"/>
        </w:rPr>
        <w:t>邢台市农业农村局</w:t>
      </w:r>
    </w:p>
    <w:p>
      <w:pPr>
        <w:ind w:left="-199" w:leftChars="-95"/>
        <w:jc w:val="center"/>
        <w:rPr>
          <w:rFonts w:ascii="宋体" w:hAnsi="宋体" w:eastAsia="宋体" w:cs="宋体"/>
          <w:b/>
          <w:color w:val="auto"/>
          <w:sz w:val="36"/>
          <w:szCs w:val="36"/>
        </w:rPr>
      </w:pPr>
      <w:r>
        <w:rPr>
          <w:rFonts w:hint="eastAsia" w:ascii="宋体" w:hAnsi="宋体" w:eastAsia="宋体" w:cs="宋体"/>
          <w:b/>
          <w:color w:val="auto"/>
          <w:sz w:val="36"/>
          <w:szCs w:val="36"/>
        </w:rPr>
        <w:t>2023年</w:t>
      </w:r>
      <w:r>
        <w:rPr>
          <w:rFonts w:hint="eastAsia" w:ascii="宋体" w:hAnsi="宋体" w:eastAsia="宋体" w:cs="宋体"/>
          <w:b/>
          <w:color w:val="auto"/>
          <w:sz w:val="36"/>
          <w:szCs w:val="36"/>
          <w:lang w:eastAsia="zh-CN"/>
        </w:rPr>
        <w:t>邢台市</w:t>
      </w:r>
      <w:r>
        <w:rPr>
          <w:rFonts w:hint="eastAsia" w:ascii="宋体" w:hAnsi="宋体" w:eastAsia="宋体" w:cs="宋体"/>
          <w:b/>
          <w:color w:val="auto"/>
          <w:sz w:val="36"/>
          <w:szCs w:val="36"/>
        </w:rPr>
        <w:t>第</w:t>
      </w:r>
      <w:r>
        <w:rPr>
          <w:rFonts w:hint="eastAsia" w:ascii="宋体" w:hAnsi="宋体" w:eastAsia="宋体" w:cs="宋体"/>
          <w:b/>
          <w:color w:val="auto"/>
          <w:sz w:val="36"/>
          <w:szCs w:val="36"/>
          <w:lang w:eastAsia="zh-CN"/>
        </w:rPr>
        <w:t>二</w:t>
      </w:r>
      <w:r>
        <w:rPr>
          <w:rFonts w:hint="eastAsia" w:ascii="宋体" w:hAnsi="宋体" w:eastAsia="宋体" w:cs="宋体"/>
          <w:b/>
          <w:color w:val="auto"/>
          <w:sz w:val="36"/>
          <w:szCs w:val="36"/>
        </w:rPr>
        <w:t>批高标准农田建设项目初步设计</w:t>
      </w:r>
    </w:p>
    <w:p>
      <w:pPr>
        <w:jc w:val="center"/>
        <w:rPr>
          <w:rFonts w:ascii="宋体" w:hAnsi="宋体" w:eastAsia="宋体" w:cs="宋体"/>
          <w:b/>
          <w:color w:val="auto"/>
          <w:sz w:val="44"/>
          <w:szCs w:val="44"/>
        </w:rPr>
      </w:pPr>
      <w:r>
        <w:rPr>
          <w:rFonts w:hint="eastAsia" w:ascii="宋体" w:hAnsi="宋体" w:eastAsia="宋体" w:cs="宋体"/>
          <w:b/>
          <w:color w:val="auto"/>
          <w:sz w:val="44"/>
          <w:szCs w:val="44"/>
        </w:rPr>
        <w:t>评审采购说明</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现就招采2023年</w:t>
      </w:r>
      <w:r>
        <w:rPr>
          <w:rFonts w:hint="eastAsia" w:ascii="仿宋" w:hAnsi="仿宋" w:eastAsia="仿宋" w:cs="仿宋"/>
          <w:color w:val="auto"/>
          <w:sz w:val="32"/>
          <w:szCs w:val="32"/>
          <w:lang w:eastAsia="zh-CN"/>
        </w:rPr>
        <w:t>邢台市</w:t>
      </w: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批高标准农田建设项目初步设计评审单位有关要求说明如下：</w:t>
      </w:r>
    </w:p>
    <w:p>
      <w:pPr>
        <w:spacing w:line="52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一、报名单位和评审专家</w:t>
      </w:r>
      <w:r>
        <w:rPr>
          <w:rFonts w:hint="eastAsia" w:ascii="黑体" w:hAnsi="黑体" w:eastAsia="黑体" w:cs="仿宋"/>
          <w:color w:val="auto"/>
          <w:sz w:val="32"/>
          <w:szCs w:val="32"/>
        </w:rPr>
        <w:t>应当回避的情形</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（1）参与申报项目相关资料编写的；</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（2）与项目申报单位有直接利害关系的；</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（3）有关人员担任项目申报单位技术职务的；</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（4）其他应当回避的情形。</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二、项目评审内容</w:t>
      </w:r>
    </w:p>
    <w:p>
      <w:pPr>
        <w:spacing w:line="520" w:lineRule="exact"/>
        <w:ind w:firstLine="630"/>
        <w:rPr>
          <w:rFonts w:hint="eastAsia" w:ascii="仿宋" w:hAnsi="仿宋" w:eastAsia="仿宋" w:cs="仿宋"/>
          <w:color w:val="auto"/>
          <w:sz w:val="32"/>
          <w:szCs w:val="32"/>
        </w:rPr>
      </w:pPr>
      <w:r>
        <w:rPr>
          <w:rFonts w:hint="eastAsia" w:ascii="仿宋" w:hAnsi="仿宋" w:eastAsia="仿宋" w:cs="仿宋"/>
          <w:color w:val="auto"/>
          <w:sz w:val="32"/>
          <w:szCs w:val="32"/>
        </w:rPr>
        <w:t>本次采购评审的高标准农田建设项目建设规模</w:t>
      </w:r>
      <w:r>
        <w:rPr>
          <w:rFonts w:hint="eastAsia" w:ascii="仿宋" w:hAnsi="仿宋" w:eastAsia="仿宋" w:cs="仿宋"/>
          <w:color w:val="auto"/>
          <w:sz w:val="32"/>
          <w:szCs w:val="32"/>
          <w:lang w:val="en-US" w:eastAsia="zh-CN"/>
        </w:rPr>
        <w:t>13.3</w:t>
      </w:r>
      <w:r>
        <w:rPr>
          <w:rFonts w:hint="eastAsia" w:ascii="仿宋" w:hAnsi="仿宋" w:eastAsia="仿宋" w:cs="仿宋"/>
          <w:color w:val="auto"/>
          <w:sz w:val="32"/>
          <w:szCs w:val="32"/>
        </w:rPr>
        <w:t>万亩，涉及</w:t>
      </w:r>
      <w:r>
        <w:rPr>
          <w:rFonts w:hint="eastAsia" w:ascii="仿宋" w:hAnsi="仿宋" w:eastAsia="仿宋" w:cs="仿宋"/>
          <w:color w:val="auto"/>
          <w:sz w:val="32"/>
          <w:szCs w:val="32"/>
          <w:lang w:val="en-US" w:eastAsia="zh-CN"/>
        </w:rPr>
        <w:t>新河县</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临城县</w:t>
      </w:r>
      <w:r>
        <w:rPr>
          <w:rFonts w:hint="eastAsia" w:ascii="仿宋" w:hAnsi="仿宋" w:eastAsia="仿宋" w:cs="仿宋"/>
          <w:color w:val="auto"/>
          <w:sz w:val="32"/>
          <w:szCs w:val="32"/>
        </w:rPr>
        <w:t>、宁晋县、</w:t>
      </w:r>
      <w:r>
        <w:rPr>
          <w:rFonts w:hint="eastAsia" w:ascii="仿宋" w:hAnsi="仿宋" w:eastAsia="仿宋" w:cs="仿宋"/>
          <w:color w:val="auto"/>
          <w:sz w:val="32"/>
          <w:szCs w:val="32"/>
          <w:lang w:val="en-US" w:eastAsia="zh-CN"/>
        </w:rPr>
        <w:t>沙河市</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信都区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南宫市</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柏乡县</w:t>
      </w:r>
      <w:r>
        <w:rPr>
          <w:rFonts w:hint="eastAsia" w:ascii="仿宋" w:hAnsi="仿宋" w:eastAsia="仿宋" w:cs="仿宋"/>
          <w:color w:val="auto"/>
          <w:sz w:val="32"/>
          <w:szCs w:val="32"/>
        </w:rPr>
        <w:t>、内丘县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威县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南和区、襄都区11</w:t>
      </w:r>
      <w:r>
        <w:rPr>
          <w:rFonts w:hint="eastAsia" w:ascii="仿宋" w:hAnsi="仿宋" w:eastAsia="仿宋" w:cs="仿宋"/>
          <w:color w:val="auto"/>
          <w:sz w:val="32"/>
          <w:szCs w:val="32"/>
        </w:rPr>
        <w:t>个县（市、区），共</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个建设项目。</w:t>
      </w:r>
    </w:p>
    <w:p>
      <w:pPr>
        <w:spacing w:line="52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三、评审依据</w:t>
      </w:r>
    </w:p>
    <w:p>
      <w:pPr>
        <w:spacing w:line="520" w:lineRule="exact"/>
        <w:ind w:firstLine="800" w:firstLineChars="250"/>
        <w:rPr>
          <w:rFonts w:ascii="仿宋" w:hAnsi="仿宋" w:eastAsia="仿宋"/>
          <w:color w:val="auto"/>
          <w:sz w:val="32"/>
          <w:szCs w:val="32"/>
        </w:rPr>
      </w:pPr>
      <w:r>
        <w:rPr>
          <w:rFonts w:hint="eastAsia" w:ascii="仿宋" w:hAnsi="仿宋" w:eastAsia="仿宋"/>
          <w:color w:val="auto"/>
          <w:sz w:val="32"/>
          <w:szCs w:val="32"/>
        </w:rPr>
        <w:t>1、财政部  农业农村部关于印发《农田建设补助资金管理办法的通知》财农〔2022〕5号</w:t>
      </w:r>
    </w:p>
    <w:p>
      <w:pPr>
        <w:spacing w:line="520" w:lineRule="exact"/>
        <w:ind w:firstLine="800" w:firstLineChars="250"/>
        <w:rPr>
          <w:rFonts w:ascii="仿宋" w:hAnsi="仿宋" w:eastAsia="仿宋"/>
          <w:color w:val="auto"/>
          <w:sz w:val="32"/>
          <w:szCs w:val="32"/>
        </w:rPr>
      </w:pPr>
      <w:r>
        <w:rPr>
          <w:rFonts w:hint="eastAsia" w:ascii="仿宋" w:hAnsi="仿宋" w:eastAsia="仿宋"/>
          <w:color w:val="auto"/>
          <w:sz w:val="32"/>
          <w:szCs w:val="32"/>
        </w:rPr>
        <w:t>2、河北省农业农村厅 河北省财政厅《关于下达2023年第一批农田建设任务及编报项目年度实施计划的通知》冀农字〔2023）1号</w:t>
      </w:r>
    </w:p>
    <w:p>
      <w:pPr>
        <w:spacing w:line="52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河北省农田建设补助资金管理实施细则</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冀财规</w:t>
      </w:r>
      <w:r>
        <w:rPr>
          <w:rFonts w:ascii="Times New Roman" w:hAnsi="Times New Roman" w:eastAsia="仿宋_GB2312"/>
          <w:color w:val="auto"/>
          <w:sz w:val="32"/>
          <w:szCs w:val="32"/>
        </w:rPr>
        <w:t>〔2019〕</w:t>
      </w:r>
      <w:r>
        <w:rPr>
          <w:rFonts w:hint="eastAsia" w:ascii="Times New Roman" w:hAnsi="Times New Roman" w:eastAsia="仿宋_GB2312"/>
          <w:color w:val="auto"/>
          <w:sz w:val="32"/>
          <w:szCs w:val="32"/>
        </w:rPr>
        <w:t>28</w:t>
      </w:r>
      <w:r>
        <w:rPr>
          <w:rFonts w:ascii="Times New Roman" w:hAnsi="Times New Roman" w:eastAsia="仿宋_GB2312"/>
          <w:color w:val="auto"/>
          <w:sz w:val="32"/>
          <w:szCs w:val="32"/>
        </w:rPr>
        <w:t>号）</w:t>
      </w:r>
    </w:p>
    <w:p>
      <w:pPr>
        <w:spacing w:line="520" w:lineRule="exact"/>
        <w:ind w:firstLine="800" w:firstLineChars="250"/>
        <w:rPr>
          <w:rFonts w:ascii="仿宋" w:hAnsi="仿宋" w:eastAsia="仿宋"/>
          <w:color w:val="auto"/>
          <w:sz w:val="32"/>
          <w:szCs w:val="32"/>
        </w:rPr>
      </w:pPr>
      <w:r>
        <w:rPr>
          <w:rFonts w:hint="eastAsia" w:ascii="仿宋" w:hAnsi="仿宋" w:eastAsia="仿宋"/>
          <w:color w:val="auto"/>
          <w:sz w:val="32"/>
          <w:szCs w:val="32"/>
        </w:rPr>
        <w:t>4、《河北省农田建设项目管理实施细则》</w:t>
      </w:r>
      <w:r>
        <w:rPr>
          <w:rFonts w:hint="eastAsia" w:ascii="仿宋" w:hAnsi="仿宋" w:eastAsia="仿宋" w:cs="仿宋"/>
          <w:color w:val="auto"/>
          <w:sz w:val="32"/>
          <w:szCs w:val="32"/>
        </w:rPr>
        <w:t>（冀农字[2019]34号）</w:t>
      </w:r>
    </w:p>
    <w:p>
      <w:pPr>
        <w:spacing w:line="520" w:lineRule="exact"/>
        <w:ind w:firstLine="800" w:firstLineChars="250"/>
        <w:rPr>
          <w:rFonts w:ascii="仿宋" w:hAnsi="仿宋" w:eastAsia="仿宋" w:cs="仿宋"/>
          <w:color w:val="auto"/>
          <w:sz w:val="32"/>
          <w:szCs w:val="32"/>
        </w:rPr>
      </w:pPr>
      <w:r>
        <w:rPr>
          <w:rFonts w:hint="eastAsia" w:ascii="仿宋" w:hAnsi="仿宋" w:eastAsia="仿宋" w:cs="仿宋"/>
          <w:color w:val="auto"/>
          <w:sz w:val="32"/>
          <w:szCs w:val="32"/>
        </w:rPr>
        <w:t>5、《河北省农业综合开发项目预算定额标准》（冀财发[2011]42号）</w:t>
      </w:r>
    </w:p>
    <w:p>
      <w:pPr>
        <w:spacing w:line="520" w:lineRule="exact"/>
        <w:ind w:firstLine="800" w:firstLineChars="250"/>
        <w:rPr>
          <w:rFonts w:ascii="仿宋" w:hAnsi="仿宋" w:eastAsia="仿宋" w:cs="仿宋"/>
          <w:color w:val="auto"/>
          <w:sz w:val="32"/>
          <w:szCs w:val="32"/>
        </w:rPr>
      </w:pPr>
      <w:r>
        <w:rPr>
          <w:rFonts w:hint="eastAsia" w:ascii="仿宋" w:hAnsi="仿宋" w:eastAsia="仿宋" w:cs="仿宋"/>
          <w:color w:val="auto"/>
          <w:sz w:val="32"/>
          <w:szCs w:val="32"/>
        </w:rPr>
        <w:t>6、《高标准农田建设通则》（GB/T30600-2022）</w:t>
      </w:r>
    </w:p>
    <w:p>
      <w:pPr>
        <w:spacing w:line="520" w:lineRule="exact"/>
        <w:ind w:firstLine="800" w:firstLineChars="250"/>
        <w:rPr>
          <w:rFonts w:ascii="仿宋" w:hAnsi="仿宋" w:eastAsia="仿宋" w:cs="仿宋"/>
          <w:color w:val="auto"/>
          <w:sz w:val="32"/>
          <w:szCs w:val="32"/>
        </w:rPr>
      </w:pPr>
      <w:r>
        <w:rPr>
          <w:rFonts w:hint="eastAsia" w:ascii="仿宋" w:hAnsi="仿宋" w:eastAsia="仿宋" w:cs="仿宋"/>
          <w:color w:val="auto"/>
          <w:sz w:val="32"/>
          <w:szCs w:val="32"/>
        </w:rPr>
        <w:t>7、水利、农业、林业、道路等有关行业标准规范</w:t>
      </w:r>
    </w:p>
    <w:p>
      <w:pPr>
        <w:spacing w:line="52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四、评委组成</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本次项目评审要求评审专家委员会至少由五位专家组成，包含水利工程专业、工程造价专业、农业专业等，具有高级专业技术职称，熟悉农田建设等相关政策；专家评审委员会设主任委员，实行主任委员领导下专家负责制，主任委员从评委中选取。中标单位可视工作需要成立两个专家评审委员会或增加专家人数。</w:t>
      </w:r>
    </w:p>
    <w:p>
      <w:pPr>
        <w:spacing w:line="52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五、评审程序</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项目评审主要包括评审准备、材料审核、实地考察、形成结论、意见反馈等程序。</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1、评审准备。评审单位制定评审工作方案，从省农业农村厅农田建设专家库中选取评审专家，并经招标人审核同意后，组建专家委员会，组织培训，了解有关农田建设政策，明确评审责任与纪律。</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材料审核。本次评审采取专家个人审阅与评审委员会集中评议相结合的评议方式。评审专家对项目初步设计独立审阅，形成个人审核意见并签字。材料审核重点：项目水土资源备件、规划布局、工程设计、投资估算、资金筹措、效益分析及申报材料的合规性、可行性、准确性。必要时可要求项目申报单位针对有关情况进行补充说明。</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3、实地考察。组织评委对申报项目进行实地考察，实地印证项目初步设计的可行性，形成实地考察意见，评委应对考察意见签字。考察重点：项目选址、项目规划布局、资源条件等情况。</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4、形成结论。评审专家综合实地考察及个人审核意见，经集中评议后形成项目评审意见和评审报告，并提交主任委员签字。</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5、意见反馈。评审单位将专家个人意见、评审意见、评审报告汇总整理后报市农业农村局农田建设管理办公室，并反馈相关县市修改、补充、完善。</w:t>
      </w:r>
    </w:p>
    <w:p>
      <w:pPr>
        <w:spacing w:line="520" w:lineRule="exact"/>
        <w:ind w:firstLine="640"/>
        <w:rPr>
          <w:rFonts w:ascii="仿宋" w:hAnsi="仿宋" w:eastAsia="仿宋" w:cs="仿宋"/>
          <w:color w:val="auto"/>
          <w:sz w:val="32"/>
          <w:szCs w:val="32"/>
        </w:rPr>
      </w:pPr>
      <w:r>
        <w:rPr>
          <w:rFonts w:hint="eastAsia" w:ascii="黑体" w:hAnsi="黑体" w:eastAsia="黑体" w:cs="黑体"/>
          <w:color w:val="auto"/>
          <w:sz w:val="32"/>
          <w:szCs w:val="32"/>
        </w:rPr>
        <w:t>六、评审费用报价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评审总费用</w:t>
      </w:r>
      <w:r>
        <w:rPr>
          <w:rFonts w:hint="eastAsia" w:ascii="仿宋" w:hAnsi="仿宋" w:eastAsia="仿宋" w:cs="仿宋"/>
          <w:color w:val="auto"/>
          <w:sz w:val="32"/>
          <w:szCs w:val="32"/>
          <w:lang w:val="en-US" w:eastAsia="zh-CN"/>
        </w:rPr>
        <w:t>4.42</w:t>
      </w:r>
      <w:r>
        <w:rPr>
          <w:rFonts w:hint="eastAsia" w:ascii="仿宋" w:hAnsi="仿宋" w:eastAsia="仿宋" w:cs="仿宋"/>
          <w:color w:val="auto"/>
          <w:sz w:val="32"/>
          <w:szCs w:val="32"/>
        </w:rPr>
        <w:t>万元。评审费用既包括项目实地考察、个人审阅、集中评议、交通、住宿、场地安排、文印及税金、利润等所有发生的费用。</w:t>
      </w:r>
    </w:p>
    <w:p>
      <w:pPr>
        <w:spacing w:line="52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七、评审指导与监督</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本次项目评审工作由评审机构组织的专家委员会负责，由市农业农村局相关科室提供项目评审业务指导与监督。</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八、评审时间及提交成果要求</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1、签订委托评审服务协议后2日内，评审机构组建评审委员会；通过审核后即可做好评审准备工作。</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2、根据项目初步设计编制情况，实时组织专家进行材料审核、实地考察、集中评议等，具体时间安排另行商议。</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3、评审工作应于2023年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日前完成。如有特殊情况，评审完成时间顺延。</w:t>
      </w:r>
    </w:p>
    <w:p>
      <w:pPr>
        <w:rPr>
          <w:color w:val="auto"/>
        </w:rPr>
      </w:pPr>
    </w:p>
    <w:p>
      <w:pPr>
        <w:spacing w:line="520" w:lineRule="exact"/>
        <w:ind w:firstLine="640"/>
        <w:rPr>
          <w:rFonts w:ascii="仿宋" w:hAnsi="仿宋" w:eastAsia="仿宋" w:cs="仿宋"/>
          <w:color w:val="auto"/>
          <w:sz w:val="32"/>
          <w:szCs w:val="32"/>
        </w:rPr>
      </w:pP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以上所有材料在资格审查时，有一项不合格，本次报价无效。</w:t>
      </w:r>
    </w:p>
    <w:p>
      <w:pPr>
        <w:spacing w:line="520" w:lineRule="exact"/>
        <w:ind w:firstLine="640"/>
        <w:rPr>
          <w:rFonts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NjE2NjlkZWVkYzcxOTQzM2E2NDllOWQ2YzBiZDcifQ=="/>
  </w:docVars>
  <w:rsids>
    <w:rsidRoot w:val="64A72AE5"/>
    <w:rsid w:val="0013189E"/>
    <w:rsid w:val="00330784"/>
    <w:rsid w:val="00343266"/>
    <w:rsid w:val="005A0643"/>
    <w:rsid w:val="007459C3"/>
    <w:rsid w:val="00CE6225"/>
    <w:rsid w:val="00DC5A73"/>
    <w:rsid w:val="0A781E76"/>
    <w:rsid w:val="1CF846D6"/>
    <w:rsid w:val="244B1FC8"/>
    <w:rsid w:val="3556606B"/>
    <w:rsid w:val="3E864950"/>
    <w:rsid w:val="45F817DD"/>
    <w:rsid w:val="4B6E0921"/>
    <w:rsid w:val="4B7F55F0"/>
    <w:rsid w:val="636B5873"/>
    <w:rsid w:val="64A72AE5"/>
    <w:rsid w:val="72ED9B5D"/>
    <w:rsid w:val="7D65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Default"/>
    <w:qFormat/>
    <w:uiPriority w:val="99"/>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333</Words>
  <Characters>1900</Characters>
  <Lines>15</Lines>
  <Paragraphs>4</Paragraphs>
  <TotalTime>0</TotalTime>
  <ScaleCrop>false</ScaleCrop>
  <LinksUpToDate>false</LinksUpToDate>
  <CharactersWithSpaces>2229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2021-03-16T23:58:00Z</dcterms:created>
  <dc:creator>Administrator</dc:creator>
  <cp:lastModifiedBy>kylin</cp:lastModifiedBy>
  <dcterms:modified xsi:type="dcterms:W3CDTF">2023-11-22T15:50:35Z</dcterms:modified>
  <dc:title>邢台市农业农村局采购报价单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C93AB71BA8E440198715C80B3F42C684</vt:lpwstr>
  </property>
</Properties>
</file>