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5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3021"/>
        <w:gridCol w:w="882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62" w:type="dxa"/>
            <w:gridSpan w:val="2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eastAsia="微软雅黑"/>
                <w:sz w:val="18"/>
                <w:szCs w:val="18"/>
                <w:lang w:val="en-US" w:eastAsia="zh-CN"/>
              </w:rPr>
              <w:t>防草布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62" w:type="dxa"/>
            <w:gridSpan w:val="2"/>
            <w:noWrap w:val="0"/>
            <w:vAlign w:val="top"/>
          </w:tcPr>
          <w:p>
            <w:pPr>
              <w:pStyle w:val="3"/>
              <w:ind w:firstLine="210" w:firstLineChars="10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62" w:type="dxa"/>
            <w:gridSpan w:val="2"/>
            <w:noWrap w:val="0"/>
            <w:vAlign w:val="top"/>
          </w:tcPr>
          <w:p>
            <w:pPr>
              <w:pStyle w:val="3"/>
              <w:ind w:firstLine="210" w:firstLineChars="10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62" w:type="dxa"/>
            <w:gridSpan w:val="2"/>
            <w:noWrap w:val="0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950" w:type="dxa"/>
            <w:gridSpan w:val="3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374" w:type="dxa"/>
            <w:gridSpan w:val="4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(或三证合一的营业执照)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3.5万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高于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于视为无效。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不符合采购需求、质量和服务的按无效处理。本次采购报价平方米多者为供货（服务）单位。平方米数不能低于26000平方米，低于视为无效。   </w:t>
      </w: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4、质量要求：</w:t>
      </w: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1.符合产品设计要求，PP材质，提供出厂检验证、产品合格证。</w:t>
      </w:r>
    </w:p>
    <w:p>
      <w:pPr>
        <w:ind w:firstLine="720" w:firstLineChars="3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2.规格标准：（1）每卷正常规格：2米宽*200米长一卷；共 33300平方；（2）防草布必须平整美观，达到正常使用效果，规格尺寸必须达到要求，每卷保证连续不断的长度；（3）每平方质量偏差正负3克；（4）必须加抗UV。（5）正常使用（非外力破坏）可以达到5年左右。</w:t>
      </w:r>
    </w:p>
    <w:p>
      <w:pPr>
        <w:ind w:firstLine="720" w:firstLine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3、克重90克。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728D9"/>
    <w:rsid w:val="08ED41FB"/>
    <w:rsid w:val="4C9728D9"/>
    <w:rsid w:val="76FF5478"/>
    <w:rsid w:val="7DA6E731"/>
    <w:rsid w:val="DCEFC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2022-04-29T02:59:00Z</dcterms:created>
  <dc:creator>Administrator</dc:creator>
  <cp:lastModifiedBy>kylin</cp:lastModifiedBy>
  <dcterms:modified xsi:type="dcterms:W3CDTF">2022-06-08T17:59:06Z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