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4"/>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1"/>
        <w:gridCol w:w="2265"/>
        <w:gridCol w:w="1245"/>
        <w:gridCol w:w="765"/>
        <w:gridCol w:w="124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序号</w:t>
            </w:r>
          </w:p>
        </w:tc>
        <w:tc>
          <w:tcPr>
            <w:tcW w:w="3206" w:type="dxa"/>
            <w:gridSpan w:val="2"/>
            <w:vAlign w:val="center"/>
          </w:tcPr>
          <w:p>
            <w:pPr>
              <w:jc w:val="center"/>
              <w:rPr>
                <w:sz w:val="24"/>
              </w:rPr>
            </w:pPr>
            <w:r>
              <w:rPr>
                <w:rFonts w:hint="eastAsia"/>
                <w:sz w:val="24"/>
              </w:rPr>
              <w:t>名称</w:t>
            </w:r>
          </w:p>
        </w:tc>
        <w:tc>
          <w:tcPr>
            <w:tcW w:w="1245" w:type="dxa"/>
            <w:vAlign w:val="center"/>
          </w:tcPr>
          <w:p>
            <w:pPr>
              <w:jc w:val="center"/>
              <w:rPr>
                <w:sz w:val="24"/>
              </w:rPr>
            </w:pPr>
            <w:r>
              <w:rPr>
                <w:rFonts w:hint="eastAsia"/>
                <w:sz w:val="24"/>
              </w:rPr>
              <w:t>数量</w:t>
            </w:r>
          </w:p>
        </w:tc>
        <w:tc>
          <w:tcPr>
            <w:tcW w:w="765" w:type="dxa"/>
            <w:vAlign w:val="center"/>
          </w:tcPr>
          <w:p>
            <w:pPr>
              <w:rPr>
                <w:sz w:val="24"/>
              </w:rPr>
            </w:pPr>
            <w:r>
              <w:rPr>
                <w:rFonts w:hint="eastAsia"/>
                <w:sz w:val="24"/>
              </w:rPr>
              <w:t>单位</w:t>
            </w:r>
          </w:p>
        </w:tc>
        <w:tc>
          <w:tcPr>
            <w:tcW w:w="1249" w:type="dxa"/>
            <w:vAlign w:val="center"/>
          </w:tcPr>
          <w:p>
            <w:pPr>
              <w:jc w:val="center"/>
              <w:rPr>
                <w:sz w:val="24"/>
              </w:rPr>
            </w:pPr>
            <w:r>
              <w:rPr>
                <w:rFonts w:hint="eastAsia"/>
                <w:sz w:val="24"/>
              </w:rPr>
              <w:t>单价（元）</w:t>
            </w:r>
          </w:p>
        </w:tc>
        <w:tc>
          <w:tcPr>
            <w:tcW w:w="1200" w:type="dxa"/>
            <w:vAlign w:val="center"/>
          </w:tcPr>
          <w:p>
            <w:pPr>
              <w:jc w:val="center"/>
              <w:rPr>
                <w:sz w:val="24"/>
              </w:rPr>
            </w:pPr>
            <w:r>
              <w:rPr>
                <w:rFonts w:hint="eastAsia"/>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1</w:t>
            </w:r>
          </w:p>
        </w:tc>
        <w:tc>
          <w:tcPr>
            <w:tcW w:w="3206" w:type="dxa"/>
            <w:gridSpan w:val="2"/>
            <w:vAlign w:val="center"/>
          </w:tcPr>
          <w:p>
            <w:pPr>
              <w:widowControl/>
              <w:jc w:val="center"/>
              <w:textAlignment w:val="center"/>
              <w:rPr>
                <w:sz w:val="24"/>
              </w:rPr>
            </w:pPr>
            <w:r>
              <w:rPr>
                <w:rFonts w:hint="eastAsia"/>
                <w:sz w:val="24"/>
              </w:rPr>
              <w:t>农田建设项目评审</w:t>
            </w:r>
          </w:p>
        </w:tc>
        <w:tc>
          <w:tcPr>
            <w:tcW w:w="1245" w:type="dxa"/>
            <w:vAlign w:val="center"/>
          </w:tcPr>
          <w:p>
            <w:pPr>
              <w:widowControl/>
              <w:jc w:val="center"/>
              <w:textAlignment w:val="center"/>
              <w:rPr>
                <w:rFonts w:hint="default" w:eastAsiaTheme="minorEastAsia"/>
                <w:sz w:val="24"/>
                <w:lang w:val="en-US" w:eastAsia="zh-CN"/>
              </w:rPr>
            </w:pPr>
            <w:r>
              <w:rPr>
                <w:rFonts w:hint="eastAsia"/>
                <w:sz w:val="24"/>
                <w:lang w:val="en-US" w:eastAsia="zh-CN"/>
              </w:rPr>
              <w:t>14</w:t>
            </w:r>
          </w:p>
        </w:tc>
        <w:tc>
          <w:tcPr>
            <w:tcW w:w="765" w:type="dxa"/>
            <w:vAlign w:val="center"/>
          </w:tcPr>
          <w:p>
            <w:pPr>
              <w:widowControl/>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个</w:t>
            </w: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2</w:t>
            </w:r>
          </w:p>
        </w:tc>
        <w:tc>
          <w:tcPr>
            <w:tcW w:w="3206" w:type="dxa"/>
            <w:gridSpan w:val="2"/>
            <w:vAlign w:val="center"/>
          </w:tcPr>
          <w:p>
            <w:pPr>
              <w:widowControl/>
              <w:jc w:val="center"/>
              <w:textAlignment w:val="center"/>
              <w:rPr>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3</w:t>
            </w:r>
          </w:p>
        </w:tc>
        <w:tc>
          <w:tcPr>
            <w:tcW w:w="3206" w:type="dxa"/>
            <w:gridSpan w:val="2"/>
            <w:vAlign w:val="center"/>
          </w:tcPr>
          <w:p>
            <w:pPr>
              <w:widowControl/>
              <w:jc w:val="center"/>
              <w:textAlignment w:val="center"/>
              <w:rPr>
                <w:rFonts w:eastAsia="仿宋_GB2312"/>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4</w:t>
            </w:r>
          </w:p>
        </w:tc>
        <w:tc>
          <w:tcPr>
            <w:tcW w:w="3206" w:type="dxa"/>
            <w:gridSpan w:val="2"/>
            <w:vAlign w:val="center"/>
          </w:tcPr>
          <w:p>
            <w:pPr>
              <w:widowControl/>
              <w:jc w:val="center"/>
              <w:textAlignment w:val="center"/>
              <w:rPr>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88" w:type="dxa"/>
            <w:vAlign w:val="center"/>
          </w:tcPr>
          <w:p>
            <w:pPr>
              <w:jc w:val="center"/>
              <w:rPr>
                <w:sz w:val="24"/>
              </w:rPr>
            </w:pPr>
            <w:r>
              <w:rPr>
                <w:rFonts w:hint="eastAsia"/>
                <w:sz w:val="24"/>
              </w:rPr>
              <w:t>合计</w:t>
            </w:r>
          </w:p>
        </w:tc>
        <w:tc>
          <w:tcPr>
            <w:tcW w:w="766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88" w:type="dxa"/>
            <w:vAlign w:val="center"/>
          </w:tcPr>
          <w:p>
            <w:pPr>
              <w:jc w:val="center"/>
              <w:rPr>
                <w:sz w:val="24"/>
              </w:rPr>
            </w:pPr>
            <w:r>
              <w:rPr>
                <w:rFonts w:hint="eastAsia"/>
                <w:b/>
                <w:bCs/>
                <w:szCs w:val="21"/>
              </w:rPr>
              <w:t>总金额大写</w:t>
            </w:r>
          </w:p>
        </w:tc>
        <w:tc>
          <w:tcPr>
            <w:tcW w:w="766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4194" w:type="dxa"/>
            <w:gridSpan w:val="3"/>
            <w:vAlign w:val="center"/>
          </w:tcPr>
          <w:p>
            <w:pPr>
              <w:jc w:val="center"/>
              <w:rPr>
                <w:sz w:val="32"/>
                <w:szCs w:val="32"/>
              </w:rPr>
            </w:pPr>
            <w:r>
              <w:rPr>
                <w:rFonts w:hint="eastAsia"/>
                <w:sz w:val="32"/>
                <w:szCs w:val="32"/>
              </w:rPr>
              <w:t>报名单位（单位公章）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459" w:type="dxa"/>
            <w:gridSpan w:val="4"/>
            <w:vAlign w:val="center"/>
          </w:tcPr>
          <w:p>
            <w:pPr>
              <w:jc w:val="center"/>
              <w:rPr>
                <w:sz w:val="32"/>
                <w:szCs w:val="32"/>
              </w:rPr>
            </w:pPr>
            <w:r>
              <w:rPr>
                <w:rFonts w:hint="eastAsia"/>
                <w:sz w:val="32"/>
                <w:szCs w:val="32"/>
              </w:rPr>
              <w:t>法人代表（签字或盖章）</w:t>
            </w:r>
          </w:p>
          <w:p>
            <w:pPr>
              <w:jc w:val="center"/>
              <w:rPr>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6724" w:type="dxa"/>
            <w:gridSpan w:val="5"/>
            <w:vAlign w:val="center"/>
          </w:tcPr>
          <w:p>
            <w:pPr>
              <w:rPr>
                <w:sz w:val="32"/>
                <w:szCs w:val="32"/>
              </w:rPr>
            </w:pPr>
          </w:p>
        </w:tc>
      </w:tr>
    </w:tbl>
    <w:p/>
    <w:p>
      <w:pPr>
        <w:rPr>
          <w:rFonts w:ascii="仿宋" w:hAnsi="仿宋" w:eastAsia="仿宋" w:cs="仿宋"/>
          <w:sz w:val="24"/>
        </w:rPr>
      </w:pPr>
      <w:r>
        <w:rPr>
          <w:rFonts w:hint="eastAsia" w:ascii="仿宋" w:hAnsi="仿宋" w:eastAsia="仿宋" w:cs="仿宋"/>
          <w:sz w:val="24"/>
        </w:rPr>
        <w:t>注：1、此次报价为一次性报价，报价后不得更改，如有更改按报价无效处理。报价总金额（大写与小写不一致）、单价错误，以大写为准，如大写错误按报价无效处理。</w:t>
      </w:r>
    </w:p>
    <w:p>
      <w:pPr>
        <w:ind w:firstLine="480" w:firstLineChars="200"/>
        <w:rPr>
          <w:rFonts w:ascii="仿宋" w:hAnsi="仿宋" w:eastAsia="仿宋" w:cs="仿宋"/>
          <w:sz w:val="24"/>
        </w:rPr>
      </w:pPr>
      <w:r>
        <w:rPr>
          <w:rFonts w:hint="eastAsia" w:ascii="仿宋" w:hAnsi="仿宋" w:eastAsia="仿宋" w:cs="仿宋"/>
          <w:sz w:val="24"/>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w:t>
      </w:r>
    </w:p>
    <w:p>
      <w:pPr>
        <w:pStyle w:val="5"/>
        <w:spacing w:line="440" w:lineRule="exact"/>
        <w:ind w:firstLine="200"/>
        <w:jc w:val="both"/>
        <w:rPr>
          <w:rFonts w:ascii="仿宋_GB2312" w:eastAsia="仿宋_GB2312"/>
          <w:sz w:val="32"/>
          <w:szCs w:val="32"/>
        </w:rPr>
      </w:pPr>
      <w:r>
        <w:rPr>
          <w:rFonts w:hint="eastAsia" w:ascii="仿宋" w:hAnsi="仿宋" w:eastAsia="仿宋" w:cs="仿宋"/>
          <w:color w:val="000000"/>
          <w:sz w:val="24"/>
        </w:rPr>
        <w:t>3、项目要求：本次报价总金额不得高于12.71万元，高于视为无效。</w:t>
      </w:r>
      <w:r>
        <w:rPr>
          <w:rFonts w:hint="eastAsia" w:ascii="仿宋" w:hAnsi="仿宋" w:eastAsia="仿宋" w:cs="仿宋"/>
          <w:sz w:val="24"/>
        </w:rPr>
        <w:t>不符合采购需求、质量和服务的按无效处理。本次采购价低者为供货单位。</w:t>
      </w:r>
    </w:p>
    <w:p/>
    <w:p/>
    <w:p/>
    <w:p/>
    <w:p/>
    <w:p>
      <w:pPr>
        <w:jc w:val="center"/>
        <w:rPr>
          <w:rFonts w:ascii="宋体" w:hAnsi="宋体" w:eastAsia="宋体" w:cs="宋体"/>
          <w:b/>
          <w:sz w:val="44"/>
          <w:szCs w:val="44"/>
        </w:rPr>
      </w:pPr>
      <w:r>
        <w:rPr>
          <w:rFonts w:hint="eastAsia" w:ascii="宋体" w:hAnsi="宋体" w:eastAsia="宋体" w:cs="宋体"/>
          <w:b/>
          <w:sz w:val="44"/>
          <w:szCs w:val="44"/>
        </w:rPr>
        <w:t>邢台市农业农村局</w:t>
      </w:r>
    </w:p>
    <w:p>
      <w:pPr>
        <w:jc w:val="center"/>
        <w:rPr>
          <w:rFonts w:ascii="宋体" w:hAnsi="宋体" w:eastAsia="宋体" w:cs="宋体"/>
          <w:b/>
          <w:sz w:val="44"/>
          <w:szCs w:val="44"/>
        </w:rPr>
      </w:pPr>
      <w:r>
        <w:rPr>
          <w:rFonts w:hint="eastAsia" w:ascii="宋体" w:hAnsi="宋体" w:eastAsia="宋体" w:cs="宋体"/>
          <w:b/>
          <w:sz w:val="44"/>
          <w:szCs w:val="44"/>
        </w:rPr>
        <w:t>2022年高标准农田建设项目初步设计</w:t>
      </w:r>
    </w:p>
    <w:p>
      <w:pPr>
        <w:jc w:val="center"/>
        <w:rPr>
          <w:rFonts w:ascii="宋体" w:hAnsi="宋体" w:eastAsia="宋体" w:cs="宋体"/>
          <w:b/>
          <w:sz w:val="44"/>
          <w:szCs w:val="44"/>
        </w:rPr>
      </w:pPr>
      <w:r>
        <w:rPr>
          <w:rFonts w:hint="eastAsia" w:ascii="宋体" w:hAnsi="宋体" w:eastAsia="宋体" w:cs="宋体"/>
          <w:b/>
          <w:sz w:val="44"/>
          <w:szCs w:val="44"/>
        </w:rPr>
        <w:t>评审采购说明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现就招采2022年高标准农田建设项目初步设计评审单位有关要求说明如下：</w:t>
      </w:r>
    </w:p>
    <w:p>
      <w:pPr>
        <w:spacing w:line="520" w:lineRule="exact"/>
        <w:ind w:firstLine="640" w:firstLineChars="200"/>
        <w:rPr>
          <w:rFonts w:ascii="黑体" w:hAnsi="黑体" w:eastAsia="黑体"/>
          <w:sz w:val="32"/>
          <w:szCs w:val="32"/>
        </w:rPr>
      </w:pPr>
      <w:r>
        <w:rPr>
          <w:rFonts w:hint="eastAsia" w:ascii="黑体" w:hAnsi="黑体" w:eastAsia="黑体" w:cs="仿宋"/>
          <w:sz w:val="32"/>
          <w:szCs w:val="32"/>
        </w:rPr>
        <w:t>一、</w:t>
      </w:r>
      <w:r>
        <w:rPr>
          <w:rFonts w:hint="eastAsia" w:ascii="黑体" w:hAnsi="黑体" w:eastAsia="黑体"/>
          <w:sz w:val="32"/>
          <w:szCs w:val="32"/>
        </w:rPr>
        <w:t>报名单位和评审专家</w:t>
      </w:r>
      <w:r>
        <w:rPr>
          <w:rFonts w:hint="eastAsia" w:ascii="黑体" w:hAnsi="黑体" w:eastAsia="黑体" w:cs="仿宋"/>
          <w:sz w:val="32"/>
          <w:szCs w:val="32"/>
        </w:rPr>
        <w:t>应当回避的情形</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（1）参与申报项目相关资料编写的；</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（2）与项目申报单位有直接利害关系的；</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（3）有关人员担任项目申报单位技术职务的；</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（4）其他应当回避的情形。</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、项目评审内容</w:t>
      </w:r>
    </w:p>
    <w:p>
      <w:pPr>
        <w:spacing w:line="520" w:lineRule="exact"/>
        <w:ind w:firstLine="630"/>
        <w:rPr>
          <w:rFonts w:ascii="仿宋" w:hAnsi="仿宋" w:eastAsia="仿宋"/>
          <w:sz w:val="32"/>
        </w:rPr>
      </w:pPr>
      <w:r>
        <w:rPr>
          <w:rFonts w:hint="eastAsia" w:ascii="仿宋" w:hAnsi="仿宋" w:eastAsia="仿宋" w:cs="仿宋"/>
          <w:sz w:val="32"/>
          <w:szCs w:val="32"/>
        </w:rPr>
        <w:t>本次采购评审的高标准农田建设项目</w:t>
      </w:r>
      <w:r>
        <w:rPr>
          <w:rFonts w:hint="eastAsia" w:ascii="仿宋" w:hAnsi="仿宋" w:eastAsia="仿宋"/>
          <w:sz w:val="32"/>
          <w:szCs w:val="32"/>
        </w:rPr>
        <w:t>建设规模</w:t>
      </w:r>
      <w:r>
        <w:rPr>
          <w:rFonts w:hint="eastAsia" w:ascii="仿宋" w:hAnsi="仿宋" w:eastAsia="仿宋"/>
          <w:sz w:val="32"/>
          <w:szCs w:val="32"/>
          <w:lang w:val="en-US" w:eastAsia="zh-CN"/>
        </w:rPr>
        <w:t>17.05</w:t>
      </w:r>
      <w:r>
        <w:rPr>
          <w:rFonts w:hint="eastAsia" w:ascii="仿宋" w:hAnsi="仿宋" w:eastAsia="仿宋"/>
          <w:sz w:val="32"/>
          <w:szCs w:val="32"/>
        </w:rPr>
        <w:t>万亩</w:t>
      </w:r>
      <w:r>
        <w:rPr>
          <w:rFonts w:hint="eastAsia" w:ascii="仿宋" w:hAnsi="仿宋" w:eastAsia="仿宋"/>
          <w:sz w:val="32"/>
        </w:rPr>
        <w:t>，涉及信都区、任泽区、内丘县、隆尧县、宁晋县、南宫市、沙河市、邢台经济开发区、</w:t>
      </w:r>
      <w:r>
        <w:rPr>
          <w:rFonts w:hint="eastAsia" w:ascii="仿宋" w:hAnsi="仿宋" w:eastAsia="仿宋"/>
          <w:sz w:val="32"/>
          <w:szCs w:val="32"/>
        </w:rPr>
        <w:t>南和区和临西县</w:t>
      </w:r>
      <w:r>
        <w:rPr>
          <w:rFonts w:hint="eastAsia" w:ascii="仿宋" w:hAnsi="仿宋" w:eastAsia="仿宋"/>
          <w:sz w:val="32"/>
        </w:rPr>
        <w:t>等1</w:t>
      </w:r>
      <w:r>
        <w:rPr>
          <w:rFonts w:hint="eastAsia" w:ascii="仿宋" w:hAnsi="仿宋" w:eastAsia="仿宋"/>
          <w:sz w:val="32"/>
          <w:lang w:val="en-US" w:eastAsia="zh-CN"/>
        </w:rPr>
        <w:t>0</w:t>
      </w:r>
      <w:r>
        <w:rPr>
          <w:rFonts w:hint="eastAsia" w:ascii="仿宋" w:hAnsi="仿宋" w:eastAsia="仿宋"/>
          <w:sz w:val="32"/>
        </w:rPr>
        <w:t>个县（市、区），</w:t>
      </w:r>
      <w:r>
        <w:rPr>
          <w:rFonts w:hint="eastAsia" w:ascii="仿宋" w:hAnsi="仿宋" w:eastAsia="仿宋"/>
          <w:sz w:val="32"/>
          <w:lang w:val="en-US" w:eastAsia="zh-CN"/>
        </w:rPr>
        <w:t>11个建设项目，</w:t>
      </w:r>
      <w:r>
        <w:rPr>
          <w:rFonts w:hint="eastAsia" w:ascii="仿宋" w:hAnsi="仿宋" w:eastAsia="仿宋"/>
          <w:sz w:val="32"/>
          <w:lang w:eastAsia="zh-CN"/>
        </w:rPr>
        <w:t>供销社项目</w:t>
      </w:r>
      <w:r>
        <w:rPr>
          <w:rFonts w:hint="eastAsia" w:ascii="仿宋" w:hAnsi="仿宋" w:eastAsia="仿宋"/>
          <w:sz w:val="32"/>
          <w:lang w:val="en-US" w:eastAsia="zh-CN"/>
        </w:rPr>
        <w:t>6万亩3个建设项目，合计</w:t>
      </w:r>
      <w:r>
        <w:rPr>
          <w:rFonts w:hint="eastAsia" w:ascii="仿宋" w:hAnsi="仿宋" w:eastAsia="仿宋"/>
          <w:sz w:val="32"/>
        </w:rPr>
        <w:t>共安排高标准农田建设项目</w:t>
      </w:r>
      <w:r>
        <w:rPr>
          <w:rFonts w:hint="eastAsia" w:ascii="仿宋" w:hAnsi="仿宋" w:eastAsia="仿宋"/>
          <w:sz w:val="32"/>
          <w:lang w:val="en-US" w:eastAsia="zh-CN"/>
        </w:rPr>
        <w:t>14</w:t>
      </w:r>
      <w:r>
        <w:rPr>
          <w:rFonts w:hint="eastAsia" w:ascii="仿宋" w:hAnsi="仿宋" w:eastAsia="仿宋"/>
          <w:sz w:val="32"/>
        </w:rPr>
        <w:t>个。</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、评审依据</w:t>
      </w:r>
    </w:p>
    <w:p>
      <w:pPr>
        <w:spacing w:line="520" w:lineRule="exact"/>
        <w:ind w:firstLine="800" w:firstLineChars="250"/>
        <w:rPr>
          <w:rFonts w:ascii="仿宋" w:hAnsi="仿宋" w:eastAsia="仿宋"/>
          <w:sz w:val="32"/>
          <w:szCs w:val="32"/>
        </w:rPr>
      </w:pPr>
      <w:r>
        <w:rPr>
          <w:rFonts w:hint="eastAsia" w:ascii="仿宋" w:hAnsi="仿宋" w:eastAsia="仿宋"/>
          <w:sz w:val="32"/>
          <w:szCs w:val="32"/>
        </w:rPr>
        <w:t>1、河北省农业农村厅 河北省财政厅《关于下达2022年第一批农田建设任务及编报项目年度实施计划的通知》(冀农字〔2022〕8号)</w:t>
      </w:r>
    </w:p>
    <w:p>
      <w:pPr>
        <w:spacing w:line="52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河北省农田建设补助资金管理实施细则</w:t>
      </w:r>
      <w:r>
        <w:rPr>
          <w:rFonts w:ascii="Times New Roman" w:hAnsi="Times New Roman" w:eastAsia="仿宋_GB2312"/>
          <w:sz w:val="32"/>
          <w:szCs w:val="32"/>
        </w:rPr>
        <w:t>》（</w:t>
      </w:r>
      <w:r>
        <w:rPr>
          <w:rFonts w:hint="eastAsia" w:ascii="Times New Roman" w:hAnsi="Times New Roman" w:eastAsia="仿宋_GB2312"/>
          <w:sz w:val="32"/>
          <w:szCs w:val="32"/>
        </w:rPr>
        <w:t>冀财规</w:t>
      </w:r>
      <w:r>
        <w:rPr>
          <w:rFonts w:ascii="Times New Roman" w:hAnsi="Times New Roman" w:eastAsia="仿宋_GB2312"/>
          <w:sz w:val="32"/>
          <w:szCs w:val="32"/>
        </w:rPr>
        <w:t>〔2019〕</w:t>
      </w:r>
      <w:r>
        <w:rPr>
          <w:rFonts w:hint="eastAsia" w:ascii="Times New Roman" w:hAnsi="Times New Roman" w:eastAsia="仿宋_GB2312"/>
          <w:sz w:val="32"/>
          <w:szCs w:val="32"/>
        </w:rPr>
        <w:t>28</w:t>
      </w:r>
      <w:r>
        <w:rPr>
          <w:rFonts w:ascii="Times New Roman" w:hAnsi="Times New Roman" w:eastAsia="仿宋_GB2312"/>
          <w:sz w:val="32"/>
          <w:szCs w:val="32"/>
        </w:rPr>
        <w:t>号）</w:t>
      </w:r>
    </w:p>
    <w:p>
      <w:pPr>
        <w:spacing w:line="520" w:lineRule="exact"/>
        <w:ind w:firstLine="800" w:firstLineChars="250"/>
        <w:rPr>
          <w:rFonts w:ascii="仿宋" w:hAnsi="仿宋" w:eastAsia="仿宋"/>
          <w:sz w:val="32"/>
          <w:szCs w:val="32"/>
        </w:rPr>
      </w:pPr>
      <w:r>
        <w:rPr>
          <w:rFonts w:hint="eastAsia" w:ascii="仿宋" w:hAnsi="仿宋" w:eastAsia="仿宋"/>
          <w:sz w:val="32"/>
          <w:szCs w:val="32"/>
        </w:rPr>
        <w:t>3、《河北省农田建设项目管理实施细则》</w:t>
      </w:r>
      <w:r>
        <w:rPr>
          <w:rFonts w:hint="eastAsia" w:ascii="仿宋" w:hAnsi="仿宋" w:eastAsia="仿宋" w:cs="仿宋"/>
          <w:sz w:val="32"/>
          <w:szCs w:val="32"/>
        </w:rPr>
        <w:t>（冀农字[2019]34号）</w:t>
      </w:r>
    </w:p>
    <w:p>
      <w:pPr>
        <w:spacing w:line="520" w:lineRule="exact"/>
        <w:ind w:firstLine="800" w:firstLineChars="250"/>
        <w:rPr>
          <w:rFonts w:ascii="仿宋" w:hAnsi="仿宋" w:eastAsia="仿宋" w:cs="仿宋"/>
          <w:sz w:val="32"/>
          <w:szCs w:val="32"/>
        </w:rPr>
      </w:pPr>
      <w:r>
        <w:rPr>
          <w:rFonts w:hint="eastAsia" w:ascii="仿宋" w:hAnsi="仿宋" w:eastAsia="仿宋" w:cs="仿宋"/>
          <w:sz w:val="32"/>
          <w:szCs w:val="32"/>
        </w:rPr>
        <w:t>4、《河北省农业综合开发项目预算定额标准》（冀财发[2011]42号）</w:t>
      </w:r>
    </w:p>
    <w:p>
      <w:pPr>
        <w:spacing w:line="520" w:lineRule="exact"/>
        <w:ind w:firstLine="800" w:firstLineChars="250"/>
        <w:rPr>
          <w:rFonts w:ascii="仿宋" w:hAnsi="仿宋" w:eastAsia="仿宋" w:cs="仿宋"/>
          <w:sz w:val="32"/>
          <w:szCs w:val="32"/>
        </w:rPr>
      </w:pPr>
      <w:r>
        <w:rPr>
          <w:rFonts w:hint="eastAsia" w:ascii="仿宋" w:hAnsi="仿宋" w:eastAsia="仿宋" w:cs="仿宋"/>
          <w:sz w:val="32"/>
          <w:szCs w:val="32"/>
        </w:rPr>
        <w:t>5、</w:t>
      </w:r>
      <w:r>
        <w:rPr>
          <w:rFonts w:hint="eastAsia" w:eastAsia="仿宋_GB2312"/>
          <w:sz w:val="32"/>
          <w:szCs w:val="32"/>
        </w:rPr>
        <w:t>《高标准农田建设通则》（</w:t>
      </w:r>
      <w:r>
        <w:rPr>
          <w:rFonts w:eastAsia="仿宋_GB2312"/>
          <w:sz w:val="32"/>
          <w:szCs w:val="32"/>
        </w:rPr>
        <w:t>GB/T30600-2014</w:t>
      </w:r>
      <w:r>
        <w:rPr>
          <w:rFonts w:hint="eastAsia" w:eastAsia="仿宋_GB2312"/>
          <w:sz w:val="32"/>
          <w:szCs w:val="32"/>
        </w:rPr>
        <w:t>）</w:t>
      </w:r>
    </w:p>
    <w:p>
      <w:pPr>
        <w:spacing w:line="520" w:lineRule="exact"/>
        <w:ind w:firstLine="800" w:firstLineChars="250"/>
        <w:rPr>
          <w:rFonts w:ascii="仿宋" w:hAnsi="仿宋" w:eastAsia="仿宋" w:cs="仿宋"/>
          <w:sz w:val="32"/>
          <w:szCs w:val="32"/>
        </w:rPr>
      </w:pPr>
      <w:r>
        <w:rPr>
          <w:rFonts w:hint="eastAsia" w:ascii="仿宋" w:hAnsi="仿宋" w:eastAsia="仿宋" w:cs="仿宋"/>
          <w:sz w:val="32"/>
          <w:szCs w:val="32"/>
        </w:rPr>
        <w:t>6、水利、农业、林业、道路等有关行业标准规范</w:t>
      </w:r>
    </w:p>
    <w:p>
      <w:pPr>
        <w:spacing w:line="520" w:lineRule="exact"/>
        <w:ind w:firstLine="64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、评委组成</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本次项目评审要求评审专家委员会至少由五位专家组成，包含水利工程专业、工程造价专业、农业专业等，专家须从冀农字[2020]26号文件公布的河北省农田建设项目评审专家名单中选取，具有高级专业技术职称，熟悉农田建设等相关政策；专家评审委员会设主任委员，实行主任委员领导下专家负责制，主任委员从评委中选取。中标单位可视工作需要成立两个专家评审委员会或增加专家人数。</w:t>
      </w:r>
    </w:p>
    <w:p>
      <w:pPr>
        <w:spacing w:line="520" w:lineRule="exact"/>
        <w:ind w:firstLine="64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、评审程序</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项目评审主要包括评审准备、材料审核、实地考察、形成结论、意见反馈等程序。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1、评审准备。评审单位制定评审工作方案，从省农业农村厅农田建设专家库中选取评审专家，并经招标人审核同意后，组建专家委员会，组织培训，了解有关农田建设政策，明确评审责任与纪律。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材料审核。本次评审采取专家个人审阅与评审委员会集中评议相结合的评议方式。评审专家对项目初步设计独立审阅，形成个人审核意见并签字。材料审核重点：项目水土资源备件、规划布局、工程设计、投资估算、资金筹措、效益分析及申报材料的合规性、可行性、准确性。必要时可要求项目申报单位针对有关情况进行补充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3、实地考察。组织评委对申报项目进行实地考察，实地印证项目初步设计的可行性，形成实地考察意见，评委应对考察意见签字。考察重点：项目选址、项目规划布局、资源条件等情况。</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4、形成结论。评审专家综合实地考察及个人审核意见，经集中评议后形成项目评审意见和评审报告，并提交主任委员签字。</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5、意见反馈。评审单位将专家个人意见、评审意见、评审报告汇总整理后报市农业农村局农田建设管理办公室，并反馈相关县市修改、补充、完善。</w:t>
      </w:r>
    </w:p>
    <w:p>
      <w:pPr>
        <w:spacing w:line="520" w:lineRule="exact"/>
        <w:ind w:firstLine="640"/>
        <w:rPr>
          <w:rFonts w:ascii="仿宋" w:hAnsi="仿宋" w:eastAsia="仿宋" w:cs="仿宋"/>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、评审费用报价</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评审总费用12.71万元。评审费用既包括项目实地考察、个人审阅、集中评议、交通、住宿、场地安排、文印及税金、利润等所有发生的费用。</w:t>
      </w:r>
    </w:p>
    <w:p>
      <w:pPr>
        <w:spacing w:line="520" w:lineRule="exact"/>
        <w:ind w:firstLine="64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、评审指导与监督</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本次项目评审工作由评审机构组织的专家委员会负责，由市农业农村局相关科室提供项目评审业务指导与监督。</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bookmarkStart w:id="0" w:name="_GoBack"/>
      <w:bookmarkEnd w:id="0"/>
      <w:r>
        <w:rPr>
          <w:rFonts w:hint="eastAsia" w:ascii="黑体" w:hAnsi="黑体" w:eastAsia="黑体" w:cs="黑体"/>
          <w:sz w:val="32"/>
          <w:szCs w:val="32"/>
        </w:rPr>
        <w:t>、评审时间及提交成果要求</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1、签订委托评审服务协议后2日内，评审机构组建评审委员会；通过审核后即可做好评审准备工作。</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2、根据项目初步设计编制情况，实时组织专家进行材料审核、实地考察、集中评议等，具体时间安排另行商议。</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3、评审工作应于2022年4月20日前完成。如有特殊情况，评审完成时间顺延。</w:t>
      </w:r>
    </w:p>
    <w:p/>
    <w:p>
      <w:pPr>
        <w:spacing w:line="520" w:lineRule="exact"/>
        <w:ind w:firstLine="640"/>
        <w:rPr>
          <w:rFonts w:ascii="仿宋" w:hAnsi="仿宋" w:eastAsia="仿宋" w:cs="仿宋"/>
          <w:sz w:val="32"/>
          <w:szCs w:val="32"/>
        </w:rPr>
      </w:pPr>
    </w:p>
    <w:p>
      <w:pPr>
        <w:spacing w:line="520" w:lineRule="exact"/>
        <w:ind w:firstLine="640"/>
        <w:rPr>
          <w:rFonts w:ascii="仿宋" w:hAnsi="仿宋" w:eastAsia="仿宋" w:cs="仿宋"/>
          <w:sz w:val="32"/>
          <w:szCs w:val="32"/>
        </w:rPr>
      </w:pPr>
      <w:r>
        <w:rPr>
          <w:rFonts w:hint="eastAsia" w:ascii="仿宋" w:hAnsi="仿宋" w:eastAsia="仿宋" w:cs="仿宋"/>
          <w:sz w:val="32"/>
          <w:szCs w:val="32"/>
        </w:rPr>
        <w:t>以上所有材料在资格审查时，有一项不合格，本次报价无效。</w:t>
      </w:r>
    </w:p>
    <w:p>
      <w:pPr>
        <w:spacing w:line="520" w:lineRule="exact"/>
        <w:ind w:firstLine="64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A72AE5"/>
    <w:rsid w:val="0013189E"/>
    <w:rsid w:val="00330784"/>
    <w:rsid w:val="007459C3"/>
    <w:rsid w:val="00CE6225"/>
    <w:rsid w:val="00DC5A73"/>
    <w:rsid w:val="1CF846D6"/>
    <w:rsid w:val="244B1FC8"/>
    <w:rsid w:val="2C16765E"/>
    <w:rsid w:val="3E864950"/>
    <w:rsid w:val="45F817DD"/>
    <w:rsid w:val="636B5873"/>
    <w:rsid w:val="64A7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Default"/>
    <w:qFormat/>
    <w:uiPriority w:val="99"/>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2358</Words>
  <Characters>2428</Characters>
  <Lines>18</Lines>
  <Paragraphs>5</Paragraphs>
  <TotalTime>47</TotalTime>
  <ScaleCrop>false</ScaleCrop>
  <LinksUpToDate>false</LinksUpToDate>
  <CharactersWithSpaces>2448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2021-03-16T07:58:00Z</dcterms:created>
  <dc:creator>Administrator</dc:creator>
  <cp:lastModifiedBy>Administrator</cp:lastModifiedBy>
  <dcterms:modified xsi:type="dcterms:W3CDTF">2022-04-06T09:37:34Z</dcterms:modified>
  <dc:title>邢台市农业农村局采购报价单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C93AB71BA8E440198715C80B3F42C684</vt:lpwstr>
  </property>
</Properties>
</file>