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Calibri" w:hAnsi="Calibri" w:eastAsia="宋体" w:cs="Times New Roman"/>
                <w:b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kern w:val="1"/>
                <w:sz w:val="24"/>
                <w:szCs w:val="24"/>
                <w:lang w:val="en-US" w:eastAsia="zh-CN" w:bidi="ar-SA"/>
              </w:rPr>
              <w:t>非洲猪瘟病毒(P72/CD2v/MGF)</w:t>
            </w:r>
          </w:p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kern w:val="1"/>
                <w:sz w:val="24"/>
                <w:szCs w:val="24"/>
                <w:lang w:val="en-US" w:eastAsia="zh-CN" w:bidi="ar-SA"/>
              </w:rPr>
              <w:t>三重荧光PCR检测试剂盒</w:t>
            </w:r>
            <w:bookmarkStart w:id="0" w:name="_GoBack"/>
            <w:bookmarkEnd w:id="0"/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3"/>
              <w:ind w:firstLine="21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3"/>
              <w:ind w:firstLine="21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36400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不符合采购需求、质量和服务的按无效处理。本次采购数量多者为供货（服务）单位。不能低于8盒，低于视为无效。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1.包装规格：50 头份/盒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2.预期用途： 用于 猪血液、脾脏、 淋巴结、肾脏 组织 样品中的非洲猪瘟病毒 p72 基因 、CD2v 基因 和 MGF 基因 的检测。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3.保存条件：方便贮藏管理，不同试剂分开包装，扩增用试剂-20℃保存。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4.试剂盒组成：PCR反应液，反应阳性对照，阴性对照，引物探针。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5.结果的有效性：FAM 信号、 VIC 信号 和 Cy5 信号通道下阳性对照 同时应出现特异性扩增曲线且Ct 值&lt; 35 ，且阴性对照无特异性扩增曲线或无 Ct 值，则试验成立； 否则试验不成立。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6.储存条件及有效期: 扩增检测试剂储存于-20℃及以下，有效期为 12 个月,供方所供产品效期不少于整个保质期的 2/3。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7.适用仪器: ABI、罗氏、耶拿、伯乐、博日，等各种荧光定量PCR 仪。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8.报价产品需有兽药产品批准文号，提供复印件加盖生产厂家公章。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5337"/>
    <w:rsid w:val="353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2021-11-26T02:57:00Z</dcterms:created>
  <dc:creator>Administrator</dc:creator>
  <cp:lastModifiedBy>Administrator</cp:lastModifiedBy>
  <dcterms:modified xsi:type="dcterms:W3CDTF">2021-11-26T03:05:10Z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