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52"/>
        <w:gridCol w:w="9834"/>
        <w:gridCol w:w="3448"/>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40" w:type="dxa"/>
            <w:vAlign w:val="center"/>
          </w:tcPr>
          <w:p>
            <w:pPr>
              <w:widowControl/>
              <w:jc w:val="center"/>
              <w:rPr>
                <w:rFonts w:ascii="宋体" w:cs="宋体"/>
                <w:b/>
                <w:bCs/>
                <w:kern w:val="0"/>
                <w:sz w:val="20"/>
                <w:szCs w:val="20"/>
              </w:rPr>
            </w:pPr>
            <w:r>
              <w:rPr>
                <w:rFonts w:hint="eastAsia" w:ascii="宋体" w:hAnsi="宋体" w:cs="宋体"/>
                <w:b/>
                <w:bCs/>
                <w:kern w:val="0"/>
                <w:sz w:val="20"/>
                <w:szCs w:val="20"/>
              </w:rPr>
              <w:t>序号</w:t>
            </w:r>
          </w:p>
        </w:tc>
        <w:tc>
          <w:tcPr>
            <w:tcW w:w="1252" w:type="dxa"/>
            <w:vAlign w:val="center"/>
          </w:tcPr>
          <w:p>
            <w:pPr>
              <w:widowControl/>
              <w:jc w:val="center"/>
              <w:rPr>
                <w:rFonts w:ascii="宋体" w:cs="宋体"/>
                <w:b/>
                <w:bCs/>
                <w:kern w:val="0"/>
                <w:sz w:val="20"/>
                <w:szCs w:val="20"/>
              </w:rPr>
            </w:pPr>
            <w:r>
              <w:rPr>
                <w:rFonts w:hint="eastAsia" w:ascii="宋体" w:hAnsi="宋体" w:cs="宋体"/>
                <w:b/>
                <w:bCs/>
                <w:kern w:val="0"/>
                <w:sz w:val="20"/>
                <w:szCs w:val="20"/>
              </w:rPr>
              <w:t>产品名称</w:t>
            </w:r>
          </w:p>
        </w:tc>
        <w:tc>
          <w:tcPr>
            <w:tcW w:w="9834" w:type="dxa"/>
            <w:vAlign w:val="center"/>
          </w:tcPr>
          <w:p>
            <w:pPr>
              <w:widowControl/>
              <w:jc w:val="center"/>
              <w:rPr>
                <w:rFonts w:ascii="宋体" w:cs="宋体"/>
                <w:b/>
                <w:bCs/>
                <w:kern w:val="0"/>
                <w:sz w:val="20"/>
                <w:szCs w:val="20"/>
              </w:rPr>
            </w:pPr>
            <w:r>
              <w:rPr>
                <w:rFonts w:hint="eastAsia" w:ascii="宋体" w:hAnsi="宋体" w:cs="宋体"/>
                <w:b/>
                <w:bCs/>
                <w:kern w:val="0"/>
                <w:sz w:val="20"/>
                <w:szCs w:val="20"/>
              </w:rPr>
              <w:t>参数</w:t>
            </w:r>
          </w:p>
        </w:tc>
        <w:tc>
          <w:tcPr>
            <w:tcW w:w="3448" w:type="dxa"/>
            <w:vAlign w:val="center"/>
          </w:tcPr>
          <w:p>
            <w:pPr>
              <w:widowControl/>
              <w:jc w:val="center"/>
              <w:rPr>
                <w:rFonts w:ascii="宋体" w:cs="宋体"/>
                <w:b/>
                <w:bCs/>
                <w:kern w:val="0"/>
                <w:sz w:val="20"/>
                <w:szCs w:val="20"/>
              </w:rPr>
            </w:pPr>
            <w:r>
              <w:rPr>
                <w:rFonts w:hint="eastAsia" w:ascii="宋体" w:hAnsi="宋体" w:cs="宋体"/>
                <w:b/>
                <w:bCs/>
                <w:kern w:val="0"/>
                <w:sz w:val="20"/>
                <w:szCs w:val="20"/>
              </w:rPr>
              <w:t>配置</w:t>
            </w:r>
          </w:p>
        </w:tc>
        <w:tc>
          <w:tcPr>
            <w:tcW w:w="540" w:type="dxa"/>
            <w:vAlign w:val="center"/>
          </w:tcPr>
          <w:p>
            <w:pPr>
              <w:widowControl/>
              <w:jc w:val="center"/>
              <w:rPr>
                <w:rFonts w:ascii="宋体" w:cs="宋体"/>
                <w:b/>
                <w:bCs/>
                <w:kern w:val="0"/>
                <w:sz w:val="20"/>
                <w:szCs w:val="20"/>
              </w:rPr>
            </w:pPr>
            <w:r>
              <w:rPr>
                <w:rFonts w:hint="eastAsia" w:ascii="宋体" w:hAnsi="宋体" w:cs="宋体"/>
                <w:b/>
                <w:bCs/>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40" w:type="dxa"/>
            <w:vAlign w:val="center"/>
          </w:tcPr>
          <w:p>
            <w:pPr>
              <w:jc w:val="center"/>
              <w:rPr>
                <w:b/>
                <w:sz w:val="20"/>
                <w:szCs w:val="20"/>
              </w:rPr>
            </w:pPr>
            <w:r>
              <w:rPr>
                <w:b/>
                <w:sz w:val="20"/>
                <w:szCs w:val="20"/>
              </w:rPr>
              <w:t>1</w:t>
            </w:r>
          </w:p>
        </w:tc>
        <w:tc>
          <w:tcPr>
            <w:tcW w:w="1252" w:type="dxa"/>
            <w:vAlign w:val="center"/>
          </w:tcPr>
          <w:p>
            <w:pPr>
              <w:jc w:val="center"/>
              <w:rPr>
                <w:rFonts w:hint="eastAsia" w:eastAsia="宋体"/>
                <w:b/>
                <w:sz w:val="20"/>
                <w:szCs w:val="20"/>
                <w:lang w:eastAsia="zh-CN"/>
              </w:rPr>
            </w:pPr>
            <w:r>
              <w:rPr>
                <w:rFonts w:hint="eastAsia"/>
                <w:b/>
                <w:sz w:val="20"/>
                <w:szCs w:val="20"/>
                <w:lang w:eastAsia="zh-CN"/>
              </w:rPr>
              <w:t>全自动</w:t>
            </w:r>
            <w:r>
              <w:rPr>
                <w:rFonts w:hint="eastAsia"/>
                <w:b/>
                <w:sz w:val="20"/>
                <w:szCs w:val="20"/>
                <w:lang w:val="en-US" w:eastAsia="zh-CN"/>
              </w:rPr>
              <w:t xml:space="preserve">   </w:t>
            </w:r>
            <w:r>
              <w:rPr>
                <w:rFonts w:hint="eastAsia"/>
                <w:b/>
                <w:sz w:val="20"/>
                <w:szCs w:val="20"/>
                <w:lang w:eastAsia="zh-CN"/>
              </w:rPr>
              <w:t>匀质器</w:t>
            </w:r>
          </w:p>
        </w:tc>
        <w:tc>
          <w:tcPr>
            <w:tcW w:w="9834" w:type="dxa"/>
            <w:vAlign w:val="center"/>
          </w:tcPr>
          <w:p>
            <w:pPr>
              <w:ind w:firstLine="105" w:firstLineChars="50"/>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 xml:space="preserve">1、最大样品批次处理量： </w:t>
            </w:r>
            <w:r>
              <w:rPr>
                <w:rFonts w:hint="eastAsia" w:ascii="仿宋_GB2312" w:hAnsi="宋体" w:eastAsia="仿宋_GB2312" w:cs="宋体"/>
                <w:kern w:val="0"/>
                <w:szCs w:val="21"/>
                <w:lang w:val="en-US" w:eastAsia="zh"/>
              </w:rPr>
              <w:t>≥</w:t>
            </w:r>
            <w:r>
              <w:rPr>
                <w:rFonts w:ascii="仿宋_GB2312" w:hAnsi="宋体" w:eastAsia="仿宋_GB2312" w:cs="宋体"/>
                <w:kern w:val="0"/>
                <w:szCs w:val="21"/>
                <w:lang w:val="en-US" w:eastAsia="zh-CN"/>
              </w:rPr>
              <w:t>36个</w:t>
            </w:r>
          </w:p>
          <w:p>
            <w:pPr>
              <w:rPr>
                <w:rFonts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 xml:space="preserve"> </w:t>
            </w:r>
            <w:r>
              <w:rPr>
                <w:rFonts w:ascii="仿宋_GB2312" w:hAnsi="宋体" w:eastAsia="仿宋_GB2312" w:cs="宋体"/>
                <w:kern w:val="0"/>
                <w:szCs w:val="21"/>
                <w:lang w:val="en-US" w:eastAsia="zh-CN"/>
              </w:rPr>
              <w:t>2、样品管体积：10ml～200mL，可以满足各种均质需求</w:t>
            </w:r>
          </w:p>
          <w:p>
            <w:pPr>
              <w:rPr>
                <w:rFonts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 xml:space="preserve"> </w:t>
            </w:r>
            <w:r>
              <w:rPr>
                <w:rFonts w:ascii="仿宋_GB2312" w:hAnsi="宋体" w:eastAsia="仿宋_GB2312" w:cs="宋体"/>
                <w:kern w:val="0"/>
                <w:szCs w:val="21"/>
                <w:lang w:val="en-US" w:eastAsia="zh-CN"/>
              </w:rPr>
              <w:t>3、电子控制转速，均质速度：3000-25000rpm</w:t>
            </w:r>
          </w:p>
          <w:p>
            <w:pPr>
              <w:ind w:firstLine="105" w:firstLineChars="50"/>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4、</w:t>
            </w:r>
            <w:r>
              <w:rPr>
                <w:rFonts w:hint="eastAsia" w:ascii="仿宋_GB2312" w:hAnsi="宋体" w:eastAsia="仿宋_GB2312" w:cs="宋体"/>
                <w:kern w:val="0"/>
                <w:szCs w:val="21"/>
                <w:lang w:val="en-US" w:eastAsia="zh"/>
              </w:rPr>
              <w:t>≥</w:t>
            </w:r>
            <w:r>
              <w:rPr>
                <w:rFonts w:ascii="仿宋_GB2312" w:hAnsi="宋体" w:eastAsia="仿宋_GB2312" w:cs="宋体"/>
                <w:kern w:val="0"/>
                <w:szCs w:val="21"/>
                <w:lang w:val="en-US" w:eastAsia="zh-CN"/>
              </w:rPr>
              <w:t>10寸彩色触摸屏操作，图形化界面，操作简单，可编辑并储存均质程序，包括加液通道、加液体积、均质速度、时间、清洗模式等，提供操作界面图</w:t>
            </w:r>
          </w:p>
          <w:p>
            <w:pPr>
              <w:ind w:firstLine="105" w:firstLineChars="50"/>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5、自动加液，</w:t>
            </w:r>
            <w:r>
              <w:rPr>
                <w:rFonts w:hint="eastAsia" w:ascii="仿宋_GB2312" w:hAnsi="宋体" w:eastAsia="仿宋_GB2312" w:cs="宋体"/>
                <w:kern w:val="0"/>
                <w:szCs w:val="21"/>
                <w:lang w:val="en-US" w:eastAsia="zh"/>
              </w:rPr>
              <w:t>≥</w:t>
            </w:r>
            <w:r>
              <w:rPr>
                <w:rFonts w:ascii="仿宋_GB2312" w:hAnsi="宋体" w:eastAsia="仿宋_GB2312" w:cs="宋体"/>
                <w:kern w:val="0"/>
                <w:szCs w:val="21"/>
                <w:lang w:val="en-US" w:eastAsia="zh-CN"/>
              </w:rPr>
              <w:t>3种溶剂通道可选</w:t>
            </w:r>
          </w:p>
          <w:p>
            <w:pPr>
              <w:ind w:firstLine="105" w:firstLineChars="50"/>
              <w:rPr>
                <w:rFonts w:ascii="仿宋_GB2312" w:hAnsi="宋体" w:eastAsia="仿宋_GB2312" w:cs="宋体"/>
                <w:kern w:val="0"/>
                <w:szCs w:val="21"/>
              </w:rPr>
            </w:pPr>
            <w:r>
              <w:rPr>
                <w:rFonts w:ascii="仿宋_GB2312" w:hAnsi="宋体" w:eastAsia="仿宋_GB2312" w:cs="宋体"/>
                <w:kern w:val="0"/>
                <w:szCs w:val="21"/>
                <w:lang w:val="en-US" w:eastAsia="zh-CN"/>
              </w:rPr>
              <w:t>6、仪器主要部件电机为德国IKA T18均质器，均质速度可以通过控制软件设定，而不是在均质器电机上去调节，提供电机装在仪器上面的实拍图、能看到均质器电机的仪器整体图及厂家声明</w:t>
            </w:r>
          </w:p>
          <w:p>
            <w:pPr>
              <w:ind w:firstLine="105" w:firstLineChars="50"/>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7、样品盘自动识别</w:t>
            </w:r>
          </w:p>
          <w:p>
            <w:pPr>
              <w:ind w:firstLine="105" w:firstLineChars="50"/>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8、刀头残留液接收盘，使得刀头上的残留液不可能滴到其他样品管从而避免由此引起的交叉污染，提供实拍图</w:t>
            </w:r>
          </w:p>
          <w:p>
            <w:pPr>
              <w:ind w:firstLine="105" w:firstLineChars="50"/>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9、可选样品液位自动监控系统 ，减少样品在均质过程中由于刀头高速旋转产生的样品溢出</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10、可选管架规格：200mL*12孔、175mL*12孔、120mL*16孔、100mL*16孔、50mL*24孔、15mL*36孔、10mL*36孔</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11、管架材质可选：铝合金、塑料</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12、可选带冰浴样品架，使得样品可以在低温条件进行操作，提供样品架实拍图并解释如何实现</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13、机械刀头可选：10×108mm、19×204mm</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14、专利的均质器刀头清洗装置，动态喷淋清洗以保证清洗效果，提供专利证书</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15、独立的刀头清洗槽，包括三种清洗方式，有机溶剂、水和超声波清洗；可以根据需要选择是用哪种清洗方式进行清洗及设定清洗时间等，有机和水分开排放及上液，水清洗及超声波清洗进水有两种选择，方便在超声波清洗时可以用纯水或者超纯水进行清洗以减少由于自来水引进的污染，提供侧面排液及进液管路排布图并解释</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16、有机溶剂清洗，可实现清洗液重复使用，使用次数可以根据需要进行设定，提供仪器操作界面图并解释</w:t>
            </w:r>
          </w:p>
          <w:p>
            <w:pPr>
              <w:rPr>
                <w:rFonts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17、</w:t>
            </w:r>
            <w:r>
              <w:rPr>
                <w:rFonts w:ascii="仿宋_GB2312" w:hAnsi="宋体" w:eastAsia="仿宋_GB2312" w:cs="宋体"/>
                <w:kern w:val="0"/>
                <w:szCs w:val="21"/>
                <w:lang w:val="en-US" w:eastAsia="zh-CN"/>
              </w:rPr>
              <w:t>水清洗水源水用桶装的可选液位监控，以防清洗水用完了，仪器继续运行导致刀头交叉污染的产生</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18、均质过程中刀头上下移动以增强均质效果，刀头上下移动距离仪器会根据样品量和样品管规格自动进行调整，提供操作界面图并说明</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19、转盘式样品盘在刀头从均质位转到清洗位过程中同时随着转动，以减少交叉污染的可能</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20、仪器安全性：仪器有自动保护功能，如实际转速与设定转速相差太大时（过慢或者过快时）仪器会自动停机，并报警; 样品过载或马达过热致温度上升时，仪器会自动调整并报警，以提高实验的安全性</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21.运行过程中，显示面板可以显示均质速度、运行时间、工作位置等实时信息，并且可以随时暂停或者停止现有工作</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22、所有的动作都是在一个密闭的系统里面，通过管连接仪器后部的排气扇可以把挥发的有机溶剂排到室外减少对实验室人员的身体毒害，并且可以节约实验室有限的通风橱空间</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23、全透明塑料前门，内置LED灯，可以一览无余的看到均质全过程</w:t>
            </w:r>
          </w:p>
          <w:p>
            <w:pPr>
              <w:rPr>
                <w:rFonts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24</w:t>
            </w:r>
            <w:r>
              <w:rPr>
                <w:rFonts w:ascii="仿宋_GB2312" w:hAnsi="宋体" w:eastAsia="仿宋_GB2312" w:cs="宋体"/>
                <w:kern w:val="0"/>
                <w:szCs w:val="21"/>
                <w:lang w:val="en-US" w:eastAsia="zh-CN"/>
              </w:rPr>
              <w:t xml:space="preserve">、工作条件    </w:t>
            </w:r>
            <w:bookmarkStart w:id="0" w:name="_GoBack"/>
            <w:bookmarkEnd w:id="0"/>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 xml:space="preserve"> 2</w:t>
            </w:r>
            <w:r>
              <w:rPr>
                <w:rFonts w:hint="eastAsia" w:ascii="仿宋_GB2312" w:hAnsi="宋体" w:eastAsia="仿宋_GB2312" w:cs="宋体"/>
                <w:kern w:val="0"/>
                <w:szCs w:val="21"/>
                <w:lang w:val="en-US" w:eastAsia="zh-CN"/>
              </w:rPr>
              <w:t>4</w:t>
            </w:r>
            <w:r>
              <w:rPr>
                <w:rFonts w:ascii="仿宋_GB2312" w:hAnsi="宋体" w:eastAsia="仿宋_GB2312" w:cs="宋体"/>
                <w:kern w:val="0"/>
                <w:szCs w:val="21"/>
                <w:lang w:val="en-US" w:eastAsia="zh-CN"/>
              </w:rPr>
              <w:t>.1  工作温度: 10-40</w:t>
            </w:r>
            <w:r>
              <w:rPr>
                <w:rFonts w:hint="eastAsia" w:ascii="仿宋_GB2312" w:hAnsi="宋体" w:eastAsia="仿宋_GB2312" w:cs="宋体"/>
                <w:kern w:val="0"/>
                <w:szCs w:val="21"/>
                <w:lang w:val="en-US" w:eastAsia="zh-CN"/>
              </w:rPr>
              <w:t>℃</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 xml:space="preserve"> 2</w:t>
            </w:r>
            <w:r>
              <w:rPr>
                <w:rFonts w:hint="eastAsia" w:ascii="仿宋_GB2312" w:hAnsi="宋体" w:eastAsia="仿宋_GB2312" w:cs="宋体"/>
                <w:kern w:val="0"/>
                <w:szCs w:val="21"/>
                <w:lang w:val="en-US" w:eastAsia="zh-CN"/>
              </w:rPr>
              <w:t>4</w:t>
            </w:r>
            <w:r>
              <w:rPr>
                <w:rFonts w:ascii="仿宋_GB2312" w:hAnsi="宋体" w:eastAsia="仿宋_GB2312" w:cs="宋体"/>
                <w:kern w:val="0"/>
                <w:szCs w:val="21"/>
                <w:lang w:val="en-US" w:eastAsia="zh-CN"/>
              </w:rPr>
              <w:t>.2  湿度: 20 - 80 %</w:t>
            </w:r>
          </w:p>
          <w:p>
            <w:pPr>
              <w:rPr>
                <w:rFonts w:ascii="仿宋_GB2312" w:hAnsi="宋体" w:eastAsia="仿宋_GB2312" w:cs="宋体"/>
                <w:kern w:val="0"/>
                <w:szCs w:val="21"/>
                <w:lang w:val="en-US" w:eastAsia="zh-CN"/>
              </w:rPr>
            </w:pPr>
            <w:r>
              <w:rPr>
                <w:rFonts w:ascii="仿宋_GB2312" w:hAnsi="宋体" w:eastAsia="仿宋_GB2312" w:cs="宋体"/>
                <w:kern w:val="0"/>
                <w:szCs w:val="21"/>
                <w:lang w:val="en-US" w:eastAsia="zh-CN"/>
              </w:rPr>
              <w:t xml:space="preserve"> 2</w:t>
            </w:r>
            <w:r>
              <w:rPr>
                <w:rFonts w:hint="eastAsia" w:ascii="仿宋_GB2312" w:hAnsi="宋体" w:eastAsia="仿宋_GB2312" w:cs="宋体"/>
                <w:kern w:val="0"/>
                <w:szCs w:val="21"/>
                <w:lang w:val="en-US" w:eastAsia="zh-CN"/>
              </w:rPr>
              <w:t>4</w:t>
            </w:r>
            <w:r>
              <w:rPr>
                <w:rFonts w:ascii="仿宋_GB2312" w:hAnsi="宋体" w:eastAsia="仿宋_GB2312" w:cs="宋体"/>
                <w:kern w:val="0"/>
                <w:szCs w:val="21"/>
                <w:lang w:val="en-US" w:eastAsia="zh-CN"/>
              </w:rPr>
              <w:t>.3  电源: 单相200-240 V, 50/60 Hz</w:t>
            </w:r>
          </w:p>
          <w:p>
            <w:pPr>
              <w:rPr>
                <w:rFonts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25、</w:t>
            </w:r>
            <w:r>
              <w:rPr>
                <w:rFonts w:ascii="仿宋_GB2312" w:hAnsi="宋体" w:eastAsia="仿宋_GB2312" w:cs="宋体"/>
                <w:kern w:val="0"/>
                <w:szCs w:val="21"/>
                <w:lang w:val="en-US" w:eastAsia="zh-CN"/>
              </w:rPr>
              <w:t>质保及备件供应：保证产品为全新原厂设备；仪器在调试通过后提供保修服务，保修期一年；在保修期内，所有服务及配件全部免费</w:t>
            </w:r>
            <w:r>
              <w:rPr>
                <w:rFonts w:hint="eastAsia" w:ascii="仿宋_GB2312" w:hAnsi="宋体" w:eastAsia="仿宋_GB2312" w:cs="宋体"/>
                <w:kern w:val="0"/>
                <w:szCs w:val="21"/>
                <w:lang w:val="en-US" w:eastAsia="zh-CN"/>
              </w:rPr>
              <w:t>；</w:t>
            </w:r>
            <w:r>
              <w:rPr>
                <w:rFonts w:ascii="仿宋_GB2312" w:hAnsi="宋体" w:eastAsia="仿宋_GB2312" w:cs="宋体"/>
                <w:kern w:val="0"/>
                <w:szCs w:val="21"/>
                <w:lang w:val="en-US" w:eastAsia="zh-CN"/>
              </w:rPr>
              <w:t>保修期外，能更及时地为用户提供备品备件</w:t>
            </w:r>
          </w:p>
          <w:p>
            <w:pPr>
              <w:rPr>
                <w:rFonts w:ascii="仿宋_GB2312" w:eastAsia="仿宋_GB2312"/>
                <w:b/>
                <w:bCs/>
                <w:color w:val="000000"/>
                <w:szCs w:val="21"/>
              </w:rPr>
            </w:pPr>
            <w:r>
              <w:rPr>
                <w:rFonts w:hint="eastAsia" w:ascii="仿宋_GB2312" w:hAnsi="宋体" w:eastAsia="仿宋_GB2312" w:cs="宋体"/>
                <w:kern w:val="0"/>
                <w:szCs w:val="21"/>
                <w:lang w:val="en-US" w:eastAsia="zh-CN"/>
              </w:rPr>
              <w:t>26、</w:t>
            </w:r>
            <w:r>
              <w:rPr>
                <w:rFonts w:ascii="仿宋_GB2312" w:hAnsi="宋体" w:eastAsia="仿宋_GB2312" w:cs="宋体"/>
                <w:kern w:val="0"/>
                <w:szCs w:val="21"/>
                <w:lang w:val="en-US" w:eastAsia="zh-CN"/>
              </w:rPr>
              <w:t>应用支持： 厂家有应用研发实验室，能够为用户在均质提取的方法开发及优化方面提供支持及协助</w:t>
            </w:r>
          </w:p>
        </w:tc>
        <w:tc>
          <w:tcPr>
            <w:tcW w:w="3448" w:type="dxa"/>
            <w:vAlign w:val="center"/>
          </w:tcPr>
          <w:p>
            <w:pP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主机一台（含控制操作系统、均质器电机等）、加液系统(已装仪器上）、通用型19mm平底机械刀头一把、维护工具包一套、刀头轴承1个、12位200ml冰浴样品管架一个、200mL离心管一包）、电源线一根、操作说明书一份</w:t>
            </w:r>
          </w:p>
          <w:p>
            <w:pPr>
              <w:widowControl/>
              <w:jc w:val="left"/>
              <w:rPr>
                <w:rFonts w:ascii="仿宋_GB2312" w:eastAsia="仿宋_GB2312" w:cs="宋体"/>
                <w:color w:val="000000"/>
                <w:kern w:val="0"/>
                <w:szCs w:val="21"/>
              </w:rPr>
            </w:pPr>
          </w:p>
        </w:tc>
        <w:tc>
          <w:tcPr>
            <w:tcW w:w="540" w:type="dxa"/>
            <w:vAlign w:val="center"/>
          </w:tcPr>
          <w:p>
            <w:pPr>
              <w:widowControl/>
              <w:jc w:val="center"/>
              <w:rPr>
                <w:rFonts w:ascii="仿宋_GB2312" w:eastAsia="仿宋_GB2312" w:cs="宋体"/>
                <w:color w:val="000000"/>
                <w:kern w:val="0"/>
                <w:szCs w:val="21"/>
              </w:rPr>
            </w:pPr>
            <w:r>
              <w:rPr>
                <w:rFonts w:ascii="仿宋_GB2312" w:eastAsia="仿宋_GB2312" w:cs="宋体"/>
                <w:color w:val="000000"/>
                <w:kern w:val="0"/>
                <w:szCs w:val="21"/>
              </w:rPr>
              <w:t>1</w:t>
            </w:r>
          </w:p>
        </w:tc>
      </w:tr>
    </w:tbl>
    <w:p/>
    <w:sectPr>
      <w:pgSz w:w="16838" w:h="11906" w:orient="landscape"/>
      <w:pgMar w:top="1134" w:right="720" w:bottom="113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S Mincho">
    <w:altName w:val="宋体"/>
    <w:panose1 w:val="02020609040205080304"/>
    <w:charset w:val="80"/>
    <w:family w:val="auto"/>
    <w:pitch w:val="default"/>
    <w:sig w:usb0="00000000" w:usb1="00000000" w:usb2="00000010" w:usb3="00000000" w:csb0="4002009F" w:csb1="DFD7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CFE"/>
    <w:rsid w:val="00046D40"/>
    <w:rsid w:val="00050BE4"/>
    <w:rsid w:val="00075282"/>
    <w:rsid w:val="00090F07"/>
    <w:rsid w:val="000C1A7E"/>
    <w:rsid w:val="00112817"/>
    <w:rsid w:val="00114D2D"/>
    <w:rsid w:val="001255D5"/>
    <w:rsid w:val="00135CC5"/>
    <w:rsid w:val="001E78CE"/>
    <w:rsid w:val="00235BE4"/>
    <w:rsid w:val="002656E4"/>
    <w:rsid w:val="002D06AE"/>
    <w:rsid w:val="00321CE5"/>
    <w:rsid w:val="0036161E"/>
    <w:rsid w:val="003B54FD"/>
    <w:rsid w:val="003C5135"/>
    <w:rsid w:val="00413752"/>
    <w:rsid w:val="00415A17"/>
    <w:rsid w:val="00426928"/>
    <w:rsid w:val="00427B0A"/>
    <w:rsid w:val="00440A75"/>
    <w:rsid w:val="00447429"/>
    <w:rsid w:val="00460E6B"/>
    <w:rsid w:val="004752A6"/>
    <w:rsid w:val="004A4600"/>
    <w:rsid w:val="004B7E09"/>
    <w:rsid w:val="00507081"/>
    <w:rsid w:val="00513DA8"/>
    <w:rsid w:val="00523C7A"/>
    <w:rsid w:val="00524871"/>
    <w:rsid w:val="005365F4"/>
    <w:rsid w:val="00571941"/>
    <w:rsid w:val="005766EF"/>
    <w:rsid w:val="005777AD"/>
    <w:rsid w:val="005A0C87"/>
    <w:rsid w:val="005A1550"/>
    <w:rsid w:val="005C68F4"/>
    <w:rsid w:val="00602C83"/>
    <w:rsid w:val="00615D2A"/>
    <w:rsid w:val="00641C69"/>
    <w:rsid w:val="006755FE"/>
    <w:rsid w:val="00694DE2"/>
    <w:rsid w:val="006B0B77"/>
    <w:rsid w:val="006C3920"/>
    <w:rsid w:val="00707C55"/>
    <w:rsid w:val="0074243A"/>
    <w:rsid w:val="00782352"/>
    <w:rsid w:val="007D7360"/>
    <w:rsid w:val="007F1958"/>
    <w:rsid w:val="007F693E"/>
    <w:rsid w:val="0083649C"/>
    <w:rsid w:val="00840CFA"/>
    <w:rsid w:val="008465FF"/>
    <w:rsid w:val="008614BB"/>
    <w:rsid w:val="0086327D"/>
    <w:rsid w:val="00886C80"/>
    <w:rsid w:val="008D5D48"/>
    <w:rsid w:val="008F5498"/>
    <w:rsid w:val="00936788"/>
    <w:rsid w:val="009963CF"/>
    <w:rsid w:val="009C43DD"/>
    <w:rsid w:val="00AC237B"/>
    <w:rsid w:val="00B130A3"/>
    <w:rsid w:val="00B44F4C"/>
    <w:rsid w:val="00B90E37"/>
    <w:rsid w:val="00BF2E79"/>
    <w:rsid w:val="00C219D3"/>
    <w:rsid w:val="00C64754"/>
    <w:rsid w:val="00CB7E5C"/>
    <w:rsid w:val="00CD3574"/>
    <w:rsid w:val="00D13AB1"/>
    <w:rsid w:val="00D30C4F"/>
    <w:rsid w:val="00D30EE5"/>
    <w:rsid w:val="00D37EF4"/>
    <w:rsid w:val="00D406DE"/>
    <w:rsid w:val="00D40CD4"/>
    <w:rsid w:val="00D81863"/>
    <w:rsid w:val="00D84914"/>
    <w:rsid w:val="00D90509"/>
    <w:rsid w:val="00DB66A5"/>
    <w:rsid w:val="00DF4227"/>
    <w:rsid w:val="00DF6FA5"/>
    <w:rsid w:val="00E2179C"/>
    <w:rsid w:val="00E252AB"/>
    <w:rsid w:val="00E35CC1"/>
    <w:rsid w:val="00E40D48"/>
    <w:rsid w:val="00E473A2"/>
    <w:rsid w:val="00ED0CFE"/>
    <w:rsid w:val="00EF08CD"/>
    <w:rsid w:val="00EF799A"/>
    <w:rsid w:val="00F22EB1"/>
    <w:rsid w:val="00F329E0"/>
    <w:rsid w:val="00F332D8"/>
    <w:rsid w:val="00FA4FAD"/>
    <w:rsid w:val="00FC0EBC"/>
    <w:rsid w:val="00FC378C"/>
    <w:rsid w:val="03EE7B41"/>
    <w:rsid w:val="064F2365"/>
    <w:rsid w:val="0E7D3C55"/>
    <w:rsid w:val="15BD7ABA"/>
    <w:rsid w:val="1E422931"/>
    <w:rsid w:val="27AF38A8"/>
    <w:rsid w:val="28992D69"/>
    <w:rsid w:val="3EF9828B"/>
    <w:rsid w:val="41004A35"/>
    <w:rsid w:val="57646D20"/>
    <w:rsid w:val="62FED43F"/>
    <w:rsid w:val="6CFF105E"/>
    <w:rsid w:val="6FBF5E76"/>
    <w:rsid w:val="7EF5FB01"/>
    <w:rsid w:val="7F2D22DD"/>
    <w:rsid w:val="CFF65505"/>
    <w:rsid w:val="D66FC7F8"/>
    <w:rsid w:val="F5BF8F52"/>
    <w:rsid w:val="F6DDE9BC"/>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widowControl/>
      <w:jc w:val="left"/>
    </w:pPr>
    <w:rPr>
      <w:rFonts w:ascii="Times New Roman" w:hAnsi="Times New Roman" w:eastAsia="MS Mincho"/>
      <w:kern w:val="0"/>
      <w:sz w:val="22"/>
      <w:szCs w:val="20"/>
      <w:lang w:eastAsia="ja-JP"/>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locked/>
    <w:uiPriority w:val="99"/>
    <w:rPr>
      <w:rFonts w:cs="Times New Roman"/>
      <w:b/>
    </w:rPr>
  </w:style>
  <w:style w:type="paragraph" w:customStyle="1" w:styleId="9">
    <w:name w:val="Main_heading"/>
    <w:basedOn w:val="1"/>
    <w:next w:val="1"/>
    <w:qFormat/>
    <w:uiPriority w:val="99"/>
    <w:pPr>
      <w:widowControl/>
      <w:spacing w:before="240" w:after="240" w:line="240" w:lineRule="atLeast"/>
      <w:jc w:val="left"/>
    </w:pPr>
    <w:rPr>
      <w:rFonts w:ascii="Times New Roman" w:hAnsi="Times New Roman" w:eastAsia="MS Mincho"/>
      <w:b/>
      <w:kern w:val="0"/>
      <w:sz w:val="28"/>
      <w:szCs w:val="20"/>
      <w:lang w:eastAsia="ja-JP"/>
    </w:rPr>
  </w:style>
  <w:style w:type="character" w:customStyle="1" w:styleId="10">
    <w:name w:val="Body Text Char"/>
    <w:basedOn w:val="7"/>
    <w:link w:val="2"/>
    <w:semiHidden/>
    <w:qFormat/>
    <w:locked/>
    <w:uiPriority w:val="99"/>
    <w:rPr>
      <w:rFonts w:eastAsia="MS Mincho" w:cs="Times New Roman"/>
      <w:sz w:val="22"/>
      <w:lang w:eastAsia="ja-JP" w:bidi="ar-SA"/>
    </w:rPr>
  </w:style>
  <w:style w:type="character" w:customStyle="1" w:styleId="11">
    <w:name w:val="NormalCharacter"/>
    <w:link w:val="1"/>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15</Pages>
  <Words>1869</Words>
  <Characters>10657</Characters>
  <Lines>0</Lines>
  <Paragraphs>0</Paragraphs>
  <TotalTime>5</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2015-05-06T00:03:00Z</dcterms:created>
  <dc:creator>微软用户</dc:creator>
  <cp:lastModifiedBy>kylin</cp:lastModifiedBy>
  <dcterms:modified xsi:type="dcterms:W3CDTF">2021-10-18T12:52:25Z</dcterms:modified>
  <dc:title>序号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