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6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项目督导检查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</w:t>
      </w:r>
    </w:p>
    <w:p>
      <w:pPr>
        <w:jc w:val="both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7.5万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高于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于视为无效。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不符合采购需求、质量和服务的按无效处理。本次采购报价低者为供货（服务）单位。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一是检查</w:t>
      </w:r>
      <w:r>
        <w:rPr>
          <w:rFonts w:hint="eastAsia" w:ascii="仿宋" w:hAnsi="仿宋" w:eastAsia="仿宋" w:cs="仿宋"/>
          <w:color w:val="000000"/>
          <w:sz w:val="24"/>
          <w:lang w:val="en-US" w:eastAsia="en-US"/>
        </w:rPr>
        <w:t>2019省级以上专项资金，包括基层农技推广体系建设、新型职业农民培育工程，优势特色主导产业等73项专项资金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。二是检查</w:t>
      </w:r>
      <w:r>
        <w:rPr>
          <w:rFonts w:hint="eastAsia" w:ascii="仿宋" w:hAnsi="仿宋" w:eastAsia="仿宋" w:cs="仿宋"/>
          <w:color w:val="000000"/>
          <w:sz w:val="24"/>
          <w:lang w:val="en-US" w:eastAsia="en-US"/>
        </w:rPr>
        <w:t>2020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sz w:val="24"/>
          <w:lang w:val="en-US" w:eastAsia="en-US"/>
        </w:rPr>
        <w:t>省级以上专项资金，包括河北省脱贫特色农业保险保费补贴、农机购置补贴等78项专项资金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。三是检查市本级实施</w:t>
      </w:r>
      <w:r>
        <w:rPr>
          <w:rFonts w:hint="eastAsia" w:ascii="仿宋" w:hAnsi="仿宋" w:eastAsia="仿宋" w:cs="仿宋"/>
          <w:color w:val="000000"/>
          <w:sz w:val="24"/>
          <w:lang w:val="en-US" w:eastAsia="en-US"/>
        </w:rPr>
        <w:t>2020年省级以上专项资金，包括休闲渔业建设、绿色养殖基础设施提升改造、信息进村入户工程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lang w:val="en-US" w:eastAsia="en-US"/>
        </w:rPr>
        <w:t>整省推进示范项目等18项专项资金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。涉及20个县市区。</w:t>
      </w:r>
    </w:p>
    <w:p>
      <w:pPr>
        <w:jc w:val="both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872CF"/>
    <w:rsid w:val="2218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2021-07-19T08:46:00Z</dcterms:created>
  <dc:creator>Administrator</dc:creator>
  <cp:lastModifiedBy>Administrator</cp:lastModifiedBy>
  <dcterms:modified xsi:type="dcterms:W3CDTF">2021-07-19T08:58:48Z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