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6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pStyle w:val="2"/>
              <w:widowControl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/>
              </w:rPr>
              <w:t>农业项目</w:t>
            </w:r>
            <w:r>
              <w:rPr>
                <w:rStyle w:val="4"/>
                <w:sz w:val="18"/>
                <w:szCs w:val="18"/>
              </w:rPr>
              <w:t>验收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个项目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>
      <w:pPr>
        <w:pStyle w:val="7"/>
        <w:spacing w:line="440" w:lineRule="exact"/>
        <w:ind w:firstLine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7.2万</w:t>
      </w:r>
      <w:r>
        <w:rPr>
          <w:rFonts w:hint="eastAsia" w:ascii="仿宋" w:hAnsi="仿宋" w:eastAsia="仿宋" w:cs="仿宋"/>
          <w:color w:val="000000"/>
          <w:sz w:val="24"/>
        </w:rPr>
        <w:t>元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包含一切费用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000000"/>
          <w:sz w:val="24"/>
        </w:rPr>
        <w:t>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sz w:val="24"/>
        </w:rPr>
        <w:t>不符合采购需求、质量和服务的按无效处理。本次采购价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低者为</w:t>
      </w:r>
      <w:r>
        <w:rPr>
          <w:rFonts w:hint="eastAsia" w:ascii="仿宋" w:hAnsi="仿宋" w:eastAsia="仿宋" w:cs="仿宋"/>
          <w:sz w:val="24"/>
          <w:lang w:eastAsia="zh-CN"/>
        </w:rPr>
        <w:t>服务</w:t>
      </w:r>
      <w:r>
        <w:rPr>
          <w:rFonts w:hint="eastAsia" w:ascii="仿宋" w:hAnsi="仿宋" w:eastAsia="仿宋" w:cs="仿宋"/>
          <w:sz w:val="24"/>
        </w:rPr>
        <w:t>单位。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因部分农业项目已经完成，需市级验收，经各项目主管科室申报，共收到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36份项目验收申请</w:t>
      </w:r>
      <w:r>
        <w:rPr>
          <w:rFonts w:hint="eastAsia" w:ascii="仿宋" w:hAnsi="仿宋" w:eastAsia="仿宋"/>
          <w:sz w:val="32"/>
          <w:szCs w:val="32"/>
          <w:lang w:eastAsia="zh-CN"/>
        </w:rPr>
        <w:t>，项目资金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20675.636万元。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验收范围</w:t>
      </w:r>
    </w:p>
    <w:p>
      <w:pPr>
        <w:widowControl/>
        <w:adjustRightInd w:val="0"/>
        <w:snapToGrid w:val="0"/>
        <w:spacing w:line="360" w:lineRule="auto"/>
        <w:ind w:firstLine="480" w:firstLineChars="150"/>
        <w:rPr>
          <w:rFonts w:hint="default" w:ascii="黑体" w:hAnsi="黑体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邢台市本级培训基地高素质农民培育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2个</w:t>
      </w:r>
      <w:r>
        <w:rPr>
          <w:rFonts w:hint="eastAsia" w:ascii="仿宋" w:hAnsi="仿宋" w:eastAsia="仿宋"/>
          <w:sz w:val="32"/>
          <w:szCs w:val="32"/>
          <w:lang w:eastAsia="zh-CN"/>
        </w:rPr>
        <w:t>项目及</w:t>
      </w:r>
      <w:r>
        <w:rPr>
          <w:rFonts w:hint="eastAsia" w:ascii="仿宋" w:hAnsi="仿宋" w:eastAsia="仿宋"/>
          <w:sz w:val="32"/>
          <w:szCs w:val="32"/>
        </w:rPr>
        <w:t>县（市、区）</w:t>
      </w:r>
      <w:r>
        <w:rPr>
          <w:rFonts w:hint="eastAsia" w:ascii="仿宋" w:hAnsi="仿宋" w:eastAsia="仿宋"/>
          <w:sz w:val="32"/>
          <w:szCs w:val="32"/>
          <w:lang w:eastAsia="zh-CN"/>
        </w:rPr>
        <w:t>新建大型沼气工程、优势特色主导产业发展、中药材产业发展补助、特色农业精品示范基地、蔬菜产业发展补助等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34个项目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共计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36个项目。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验收内容及依据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根据各项目实施方案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36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验收方式</w:t>
      </w:r>
    </w:p>
    <w:p>
      <w:pPr>
        <w:pStyle w:val="2"/>
        <w:widowControl/>
        <w:shd w:val="clear" w:color="auto" w:fill="FFFFFF"/>
        <w:adjustRightInd w:val="0"/>
        <w:snapToGrid w:val="0"/>
        <w:spacing w:before="0" w:after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通过会计师事务所实行第三方验收。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完成时间</w:t>
      </w:r>
    </w:p>
    <w:p>
      <w:pPr>
        <w:ind w:firstLine="1280" w:firstLineChars="4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自签订验收合同之日起40日内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86E967"/>
    <w:multiLevelType w:val="singleLevel"/>
    <w:tmpl w:val="B886E96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87A0C82"/>
    <w:multiLevelType w:val="singleLevel"/>
    <w:tmpl w:val="287A0C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5094E"/>
    <w:rsid w:val="3945094E"/>
    <w:rsid w:val="5A7E0032"/>
    <w:rsid w:val="750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2021-05-10T02:14:00Z</dcterms:created>
  <dc:creator>Administrator</dc:creator>
  <cp:lastModifiedBy>Administrator</cp:lastModifiedBy>
  <dcterms:modified xsi:type="dcterms:W3CDTF">2021-05-10T02:25:47Z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