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48"/>
          <w:szCs w:val="48"/>
        </w:rPr>
        <w:t>邢台市农业农村局采购报价单</w:t>
      </w:r>
    </w:p>
    <w:tbl>
      <w:tblPr>
        <w:tblStyle w:val="7"/>
        <w:tblW w:w="10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3279"/>
        <w:gridCol w:w="1435"/>
        <w:gridCol w:w="1923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2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20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网络专题及宣传推介</w:t>
            </w: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2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投票评选</w:t>
            </w: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2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网上培训</w:t>
            </w: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2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2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954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9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532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602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pStyle w:val="8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16万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不符合采购需求、质量和服务的按无效处理。本次采购价低者为</w:t>
      </w:r>
      <w:r>
        <w:rPr>
          <w:rFonts w:hint="eastAsia" w:ascii="仿宋" w:hAnsi="仿宋" w:eastAsia="仿宋" w:cs="仿宋"/>
          <w:sz w:val="24"/>
          <w:lang w:eastAsia="zh-CN"/>
        </w:rPr>
        <w:t>服务</w:t>
      </w:r>
      <w:r>
        <w:rPr>
          <w:rFonts w:hint="eastAsia" w:ascii="仿宋" w:hAnsi="仿宋" w:eastAsia="仿宋" w:cs="仿宋"/>
          <w:sz w:val="24"/>
        </w:rPr>
        <w:t>单位。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p/>
    <w:p/>
    <w:p/>
    <w:p/>
    <w:p/>
    <w:p/>
    <w:p/>
    <w:p/>
    <w:p/>
    <w:p/>
    <w:p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河北省休闲农业精品线路宣传推介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内容及费用明细表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7"/>
        <w:tblW w:w="10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60"/>
        <w:gridCol w:w="51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工作名称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主要工作内容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具体要求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186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网络专题及宣传推介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建省级主流媒体网络专页、宣传推介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1.专页下设最新资讯、精品线路、网红景点、特色推介、影像冀忆、网上培训等栏目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2.展示25条以上全省休闲农业优选线路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3.及时发布河北省休闲农业新闻资讯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86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投票评选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开发建设网络投票平台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1.开发设置网上投票系统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2.对展示的25条以上全省休闲农业优选线路进行投票，精选15条全省休闲农业精品线路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进行重点推介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867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网上培训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开展网上休闲农业培训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1.搭建网上培训直播间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2.在省级主流媒体设置网上培训专栏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3.聘请5名专家制作授课视频，每名专家授课时长90分钟左右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pStyle w:val="8"/>
        <w:rPr>
          <w:rFonts w:hint="eastAsia" w:ascii="仿宋_GB2312" w:hAnsi="华文中宋" w:eastAsia="仿宋_GB2312"/>
          <w:sz w:val="32"/>
          <w:szCs w:val="32"/>
          <w:lang w:eastAsia="zh-CN"/>
        </w:rPr>
      </w:pPr>
    </w:p>
    <w:p/>
    <w:sectPr>
      <w:pgSz w:w="11906" w:h="16838"/>
      <w:pgMar w:top="533" w:right="726" w:bottom="703" w:left="612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17BDD"/>
    <w:rsid w:val="0FD1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100"/>
    </w:pPr>
    <w:rPr>
      <w:rFonts w:ascii="宋体" w:hAnsi="宋体" w:cs="Times New Roman"/>
      <w:sz w:val="24"/>
      <w:szCs w:val="24"/>
    </w:rPr>
  </w:style>
  <w:style w:type="paragraph" w:styleId="3">
    <w:name w:val="Body Text"/>
    <w:basedOn w:val="1"/>
    <w:next w:val="4"/>
    <w:qFormat/>
    <w:uiPriority w:val="0"/>
    <w:rPr>
      <w:rFonts w:ascii="宋体" w:hAnsi="宋体"/>
      <w:spacing w:val="3"/>
      <w:szCs w:val="20"/>
    </w:rPr>
  </w:style>
  <w:style w:type="paragraph" w:styleId="4">
    <w:name w:val="toc 2"/>
    <w:basedOn w:val="1"/>
    <w:next w:val="1"/>
    <w:qFormat/>
    <w:uiPriority w:val="0"/>
    <w:pPr>
      <w:tabs>
        <w:tab w:val="right" w:leader="dot" w:pos="9629"/>
      </w:tabs>
    </w:pPr>
    <w:rPr>
      <w:rFonts w:ascii="楷体_GB2312" w:hAnsi="新宋体" w:eastAsia="楷体_GB2312"/>
      <w:smallCaps/>
      <w:sz w:val="28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2020-12-21T06:20:00Z</dcterms:created>
  <dc:creator>Administrator</dc:creator>
  <cp:lastModifiedBy>Administrator</cp:lastModifiedBy>
  <dcterms:modified xsi:type="dcterms:W3CDTF">2020-12-21T06:35:56Z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