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rFonts w:hint="eastAsia"/>
          <w:sz w:val="48"/>
          <w:szCs w:val="48"/>
        </w:rPr>
        <w:t>邢台市农业农村局采购报价单</w:t>
      </w:r>
    </w:p>
    <w:p>
      <w:pPr>
        <w:jc w:val="center"/>
      </w:pPr>
    </w:p>
    <w:tbl>
      <w:tblPr>
        <w:tblStyle w:val="6"/>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55"/>
        <w:gridCol w:w="3555"/>
        <w:gridCol w:w="1744"/>
        <w:gridCol w:w="1575"/>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074" w:type="dxa"/>
            <w:vAlign w:val="center"/>
          </w:tcPr>
          <w:p>
            <w:pPr>
              <w:jc w:val="center"/>
              <w:rPr>
                <w:sz w:val="24"/>
                <w:szCs w:val="24"/>
              </w:rPr>
            </w:pPr>
            <w:r>
              <w:rPr>
                <w:rFonts w:hint="eastAsia"/>
                <w:sz w:val="24"/>
                <w:szCs w:val="24"/>
              </w:rPr>
              <w:t>序号</w:t>
            </w:r>
          </w:p>
        </w:tc>
        <w:tc>
          <w:tcPr>
            <w:tcW w:w="4410" w:type="dxa"/>
            <w:gridSpan w:val="2"/>
            <w:vAlign w:val="center"/>
          </w:tcPr>
          <w:p>
            <w:pPr>
              <w:jc w:val="center"/>
              <w:rPr>
                <w:rFonts w:hint="eastAsia" w:eastAsiaTheme="minorEastAsia"/>
                <w:sz w:val="24"/>
                <w:szCs w:val="24"/>
                <w:lang w:eastAsia="zh-CN"/>
              </w:rPr>
            </w:pPr>
            <w:r>
              <w:rPr>
                <w:rFonts w:hint="eastAsia"/>
                <w:sz w:val="24"/>
                <w:szCs w:val="24"/>
              </w:rPr>
              <w:t>名称</w:t>
            </w:r>
          </w:p>
        </w:tc>
        <w:tc>
          <w:tcPr>
            <w:tcW w:w="1744" w:type="dxa"/>
            <w:vAlign w:val="center"/>
          </w:tcPr>
          <w:p>
            <w:pPr>
              <w:jc w:val="center"/>
              <w:rPr>
                <w:sz w:val="24"/>
                <w:szCs w:val="24"/>
              </w:rPr>
            </w:pPr>
            <w:r>
              <w:rPr>
                <w:rFonts w:hint="eastAsia"/>
                <w:sz w:val="24"/>
                <w:szCs w:val="24"/>
              </w:rPr>
              <w:t>数量</w:t>
            </w:r>
          </w:p>
        </w:tc>
        <w:tc>
          <w:tcPr>
            <w:tcW w:w="1575" w:type="dxa"/>
            <w:vAlign w:val="center"/>
          </w:tcPr>
          <w:p>
            <w:pPr>
              <w:jc w:val="center"/>
              <w:rPr>
                <w:sz w:val="24"/>
                <w:szCs w:val="24"/>
              </w:rPr>
            </w:pPr>
            <w:r>
              <w:rPr>
                <w:rFonts w:hint="eastAsia"/>
                <w:sz w:val="24"/>
                <w:szCs w:val="24"/>
              </w:rPr>
              <w:t>单价（元）</w:t>
            </w:r>
          </w:p>
        </w:tc>
        <w:tc>
          <w:tcPr>
            <w:tcW w:w="1267" w:type="dxa"/>
            <w:vAlign w:val="center"/>
          </w:tcPr>
          <w:p>
            <w:pPr>
              <w:jc w:val="center"/>
              <w:rPr>
                <w:sz w:val="24"/>
                <w:szCs w:val="24"/>
              </w:rPr>
            </w:pPr>
            <w:r>
              <w:rPr>
                <w:rFonts w:hint="eastAsia"/>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074" w:type="dxa"/>
            <w:vAlign w:val="center"/>
          </w:tcPr>
          <w:p>
            <w:pPr>
              <w:jc w:val="center"/>
              <w:rPr>
                <w:sz w:val="21"/>
                <w:szCs w:val="21"/>
              </w:rPr>
            </w:pPr>
            <w:r>
              <w:rPr>
                <w:rFonts w:hint="eastAsia"/>
                <w:sz w:val="21"/>
                <w:szCs w:val="21"/>
              </w:rPr>
              <w:t>1</w:t>
            </w:r>
          </w:p>
        </w:tc>
        <w:tc>
          <w:tcPr>
            <w:tcW w:w="4410" w:type="dxa"/>
            <w:gridSpan w:val="2"/>
            <w:vAlign w:val="center"/>
          </w:tcPr>
          <w:p>
            <w:pPr>
              <w:keepNext w:val="0"/>
              <w:keepLines w:val="0"/>
              <w:widowControl/>
              <w:suppressLineNumbers w:val="0"/>
              <w:jc w:val="center"/>
              <w:textAlignment w:val="center"/>
              <w:rPr>
                <w:rStyle w:val="7"/>
                <w:rFonts w:eastAsia="宋体"/>
                <w:sz w:val="21"/>
                <w:szCs w:val="21"/>
                <w:lang w:val="en-US" w:eastAsia="zh-CN" w:bidi="ar"/>
              </w:rPr>
            </w:pPr>
            <w:r>
              <w:rPr>
                <w:rFonts w:hint="eastAsia"/>
                <w:sz w:val="24"/>
                <w:szCs w:val="24"/>
              </w:rPr>
              <w:t>巨鹿金银花区域公用品牌</w:t>
            </w:r>
          </w:p>
        </w:tc>
        <w:tc>
          <w:tcPr>
            <w:tcW w:w="1744" w:type="dxa"/>
            <w:vAlign w:val="center"/>
          </w:tcPr>
          <w:p>
            <w:pPr>
              <w:keepNext w:val="0"/>
              <w:keepLines w:val="0"/>
              <w:widowControl/>
              <w:suppressLineNumbers w:val="0"/>
              <w:jc w:val="center"/>
              <w:textAlignment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575" w:type="dxa"/>
            <w:vAlign w:val="center"/>
          </w:tcPr>
          <w:p>
            <w:pPr>
              <w:jc w:val="center"/>
              <w:rPr>
                <w:rFonts w:hint="eastAsia" w:eastAsiaTheme="minorEastAsia"/>
                <w:sz w:val="24"/>
                <w:lang w:eastAsia="zh-CN"/>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2</w:t>
            </w:r>
          </w:p>
        </w:tc>
        <w:tc>
          <w:tcPr>
            <w:tcW w:w="4410"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1744"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3</w:t>
            </w:r>
          </w:p>
        </w:tc>
        <w:tc>
          <w:tcPr>
            <w:tcW w:w="4410"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1744"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4</w:t>
            </w:r>
          </w:p>
        </w:tc>
        <w:tc>
          <w:tcPr>
            <w:tcW w:w="4410"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1744"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5</w:t>
            </w:r>
          </w:p>
        </w:tc>
        <w:tc>
          <w:tcPr>
            <w:tcW w:w="4410"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1744" w:type="dxa"/>
            <w:vAlign w:val="center"/>
          </w:tcPr>
          <w:p>
            <w:pPr>
              <w:keepNext w:val="0"/>
              <w:keepLines w:val="0"/>
              <w:widowControl/>
              <w:suppressLineNumbers w:val="0"/>
              <w:jc w:val="center"/>
              <w:textAlignment w:val="center"/>
              <w:rPr>
                <w:rFonts w:hint="eastAsia"/>
                <w:sz w:val="24"/>
                <w:szCs w:val="24"/>
                <w:vertAlign w:val="baseline"/>
                <w:lang w:val="en-US"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1"/>
                <w:szCs w:val="21"/>
              </w:rPr>
            </w:pPr>
            <w:r>
              <w:rPr>
                <w:rFonts w:hint="eastAsia"/>
                <w:sz w:val="21"/>
                <w:szCs w:val="21"/>
              </w:rPr>
              <w:t>6</w:t>
            </w:r>
          </w:p>
        </w:tc>
        <w:tc>
          <w:tcPr>
            <w:tcW w:w="4410"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1744" w:type="dxa"/>
            <w:vAlign w:val="center"/>
          </w:tcPr>
          <w:p>
            <w:pPr>
              <w:keepNext w:val="0"/>
              <w:keepLines w:val="0"/>
              <w:widowControl/>
              <w:suppressLineNumbers w:val="0"/>
              <w:jc w:val="center"/>
              <w:textAlignment w:val="center"/>
              <w:rPr>
                <w:rFonts w:hint="eastAsia"/>
                <w:sz w:val="24"/>
                <w:szCs w:val="24"/>
                <w:vertAlign w:val="baseline"/>
                <w:lang w:eastAsia="zh-CN"/>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rFonts w:hint="eastAsia" w:eastAsiaTheme="minorEastAsia"/>
                <w:sz w:val="21"/>
                <w:szCs w:val="21"/>
                <w:lang w:eastAsia="zh-CN"/>
              </w:rPr>
            </w:pPr>
            <w:r>
              <w:rPr>
                <w:rFonts w:hint="eastAsia"/>
                <w:sz w:val="21"/>
                <w:szCs w:val="21"/>
                <w:lang w:val="en-US" w:eastAsia="zh-CN"/>
              </w:rPr>
              <w:t>7</w:t>
            </w:r>
          </w:p>
        </w:tc>
        <w:tc>
          <w:tcPr>
            <w:tcW w:w="4410" w:type="dxa"/>
            <w:gridSpan w:val="2"/>
            <w:vAlign w:val="center"/>
          </w:tcPr>
          <w:p>
            <w:pPr>
              <w:keepNext w:val="0"/>
              <w:keepLines w:val="0"/>
              <w:widowControl/>
              <w:suppressLineNumbers w:val="0"/>
              <w:jc w:val="center"/>
              <w:textAlignment w:val="center"/>
              <w:rPr>
                <w:rStyle w:val="8"/>
                <w:sz w:val="21"/>
                <w:szCs w:val="21"/>
                <w:lang w:val="en-US" w:eastAsia="zh-CN" w:bidi="ar"/>
              </w:rPr>
            </w:pPr>
          </w:p>
        </w:tc>
        <w:tc>
          <w:tcPr>
            <w:tcW w:w="1744" w:type="dxa"/>
            <w:vAlign w:val="center"/>
          </w:tcPr>
          <w:p>
            <w:pPr>
              <w:keepNext w:val="0"/>
              <w:keepLines w:val="0"/>
              <w:widowControl/>
              <w:suppressLineNumbers w:val="0"/>
              <w:jc w:val="center"/>
              <w:textAlignment w:val="center"/>
              <w:rPr>
                <w:sz w:val="24"/>
                <w:szCs w:val="24"/>
              </w:rPr>
            </w:pPr>
          </w:p>
        </w:tc>
        <w:tc>
          <w:tcPr>
            <w:tcW w:w="1575" w:type="dxa"/>
            <w:vAlign w:val="center"/>
          </w:tcPr>
          <w:p>
            <w:pPr>
              <w:jc w:val="center"/>
              <w:rPr>
                <w:sz w:val="24"/>
              </w:rPr>
            </w:pPr>
          </w:p>
        </w:tc>
        <w:tc>
          <w:tcPr>
            <w:tcW w:w="126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4" w:type="dxa"/>
            <w:vAlign w:val="center"/>
          </w:tcPr>
          <w:p>
            <w:pPr>
              <w:jc w:val="center"/>
              <w:rPr>
                <w:sz w:val="24"/>
              </w:rPr>
            </w:pPr>
            <w:r>
              <w:rPr>
                <w:rFonts w:hint="eastAsia"/>
                <w:sz w:val="24"/>
              </w:rPr>
              <w:t>合计</w:t>
            </w:r>
          </w:p>
        </w:tc>
        <w:tc>
          <w:tcPr>
            <w:tcW w:w="89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74" w:type="dxa"/>
            <w:vAlign w:val="center"/>
          </w:tcPr>
          <w:p>
            <w:pPr>
              <w:jc w:val="center"/>
              <w:rPr>
                <w:rFonts w:hint="eastAsia" w:eastAsiaTheme="minorEastAsia"/>
                <w:sz w:val="24"/>
                <w:lang w:eastAsia="zh-CN"/>
              </w:rPr>
            </w:pPr>
            <w:r>
              <w:rPr>
                <w:rFonts w:hint="eastAsia"/>
                <w:b/>
                <w:bCs/>
                <w:sz w:val="21"/>
                <w:szCs w:val="21"/>
                <w:lang w:eastAsia="zh-CN"/>
              </w:rPr>
              <w:t>总金额大写</w:t>
            </w:r>
          </w:p>
        </w:tc>
        <w:tc>
          <w:tcPr>
            <w:tcW w:w="8996"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5484" w:type="dxa"/>
            <w:gridSpan w:val="3"/>
            <w:vAlign w:val="center"/>
          </w:tcPr>
          <w:p>
            <w:pPr>
              <w:jc w:val="center"/>
              <w:rPr>
                <w:sz w:val="32"/>
                <w:szCs w:val="32"/>
              </w:rPr>
            </w:pPr>
            <w:r>
              <w:rPr>
                <w:rFonts w:hint="eastAsia"/>
                <w:sz w:val="32"/>
                <w:szCs w:val="32"/>
              </w:rPr>
              <w:t>投标单位（单位公章）</w:t>
            </w:r>
          </w:p>
          <w:p>
            <w:pPr>
              <w:jc w:val="center"/>
              <w:rPr>
                <w:sz w:val="32"/>
                <w:szCs w:val="32"/>
              </w:rPr>
            </w:pPr>
          </w:p>
          <w:p>
            <w:pPr>
              <w:ind w:firstLine="1280" w:firstLineChars="400"/>
              <w:rPr>
                <w:sz w:val="32"/>
                <w:szCs w:val="32"/>
              </w:rPr>
            </w:pPr>
            <w:r>
              <w:rPr>
                <w:rFonts w:hint="eastAsia"/>
                <w:sz w:val="32"/>
                <w:szCs w:val="32"/>
              </w:rPr>
              <w:t>年    月    日</w:t>
            </w:r>
          </w:p>
        </w:tc>
        <w:tc>
          <w:tcPr>
            <w:tcW w:w="4586" w:type="dxa"/>
            <w:gridSpan w:val="3"/>
            <w:vAlign w:val="center"/>
          </w:tcPr>
          <w:p>
            <w:pPr>
              <w:jc w:val="center"/>
              <w:rPr>
                <w:sz w:val="32"/>
                <w:szCs w:val="32"/>
              </w:rPr>
            </w:pPr>
            <w:r>
              <w:rPr>
                <w:rFonts w:hint="eastAsia"/>
                <w:sz w:val="32"/>
                <w:szCs w:val="32"/>
              </w:rPr>
              <w:t>法人</w:t>
            </w:r>
            <w:r>
              <w:rPr>
                <w:rFonts w:hint="eastAsia"/>
                <w:sz w:val="32"/>
                <w:szCs w:val="32"/>
                <w:lang w:eastAsia="zh-CN"/>
              </w:rPr>
              <w:t>代表</w:t>
            </w:r>
            <w:r>
              <w:rPr>
                <w:rFonts w:hint="eastAsia"/>
                <w:sz w:val="32"/>
                <w:szCs w:val="32"/>
              </w:rPr>
              <w:t>（签字或盖章）</w:t>
            </w:r>
          </w:p>
          <w:p>
            <w:pPr>
              <w:jc w:val="center"/>
              <w:rPr>
                <w:rFonts w:hint="eastAsia"/>
                <w:sz w:val="32"/>
                <w:szCs w:val="32"/>
              </w:rPr>
            </w:pPr>
          </w:p>
          <w:p>
            <w:pPr>
              <w:jc w:val="center"/>
              <w:rPr>
                <w:sz w:val="32"/>
                <w:szCs w:val="32"/>
              </w:rPr>
            </w:pPr>
            <w:r>
              <w:rPr>
                <w:rFonts w:hint="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29" w:type="dxa"/>
            <w:gridSpan w:val="2"/>
            <w:vAlign w:val="center"/>
          </w:tcPr>
          <w:p>
            <w:pPr>
              <w:jc w:val="center"/>
              <w:rPr>
                <w:sz w:val="32"/>
                <w:szCs w:val="32"/>
              </w:rPr>
            </w:pPr>
            <w:r>
              <w:rPr>
                <w:rFonts w:hint="eastAsia"/>
                <w:sz w:val="32"/>
                <w:szCs w:val="32"/>
              </w:rPr>
              <w:t>电话</w:t>
            </w:r>
          </w:p>
        </w:tc>
        <w:tc>
          <w:tcPr>
            <w:tcW w:w="8141" w:type="dxa"/>
            <w:gridSpan w:val="4"/>
            <w:vAlign w:val="center"/>
          </w:tcPr>
          <w:p>
            <w:pPr>
              <w:rPr>
                <w:sz w:val="32"/>
                <w:szCs w:val="32"/>
              </w:rPr>
            </w:pPr>
          </w:p>
        </w:tc>
      </w:tr>
    </w:tbl>
    <w:p/>
    <w:p>
      <w:pPr>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b w:val="0"/>
          <w:bCs w:val="0"/>
          <w:sz w:val="24"/>
          <w:szCs w:val="24"/>
          <w:lang w:val="en-US" w:eastAsia="zh-CN"/>
        </w:rPr>
        <w:t>1、此次报价为一次性报价，报价后不得更改，如有更改按报价无效处理。报价总金额（大写与小写不一致）、单价错误，以大写为准，如大写错误按报价无效处理。</w:t>
      </w:r>
    </w:p>
    <w:p>
      <w:pPr>
        <w:numPr>
          <w:ilvl w:val="0"/>
          <w:numId w:val="1"/>
        </w:num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报价单必须盖有报价单位公章（个体需签字按手印），无电话、姓名、公章（签字）视为报价无效。报价单后附有符合《中华人民共和国政府采购法》第二十二条规定的条件，有承担项目能力、良好资信、能独立承担民事责任，并具备以下条件：1、具有独立法人或负责人的营业执照，组织机构代码证，税务登记证、(或三证合一的营业执照)、等相关手续需盖章，不盖章视为报价无效。须通过“信用中国”网站和“中国政府采购网”进行信用记录查询，被列入失信被执行人、重大税收违法案件当事人名单、政府采购严重违法失信行为记录名单，将被拒绝参加本次采购活动。查询结果以“信用中国”网站和“中国政府采购网”网上打印页为准，查询日期为采购公告发布之后，仍在处罚期内拒绝报价（需盖公章）。营业范围不在本次采购范围内的视为报价无效。报价单与本次报价单不一致的视为报价无效。如不是法人签字或盖章必须有法人委托书，无委托书报价视为无效。</w:t>
      </w:r>
    </w:p>
    <w:p>
      <w:pPr>
        <w:pStyle w:val="9"/>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rPr>
        <w:t>项目要求：报价总金额不得高于</w:t>
      </w:r>
      <w:r>
        <w:rPr>
          <w:rFonts w:hint="eastAsia" w:ascii="仿宋" w:hAnsi="仿宋" w:eastAsia="仿宋" w:cs="仿宋"/>
          <w:color w:val="000000"/>
          <w:sz w:val="24"/>
          <w:lang w:val="en-US" w:eastAsia="zh-CN"/>
        </w:rPr>
        <w:t>20万</w:t>
      </w:r>
      <w:r>
        <w:rPr>
          <w:rFonts w:hint="eastAsia" w:ascii="仿宋" w:hAnsi="仿宋" w:eastAsia="仿宋" w:cs="仿宋"/>
          <w:color w:val="000000"/>
          <w:sz w:val="24"/>
        </w:rPr>
        <w:t>元，高于</w:t>
      </w:r>
      <w:r>
        <w:rPr>
          <w:rFonts w:hint="eastAsia" w:ascii="仿宋" w:hAnsi="仿宋" w:eastAsia="仿宋" w:cs="仿宋"/>
          <w:color w:val="000000"/>
          <w:sz w:val="24"/>
          <w:lang w:eastAsia="zh-CN"/>
        </w:rPr>
        <w:t>视为无效</w:t>
      </w:r>
      <w:r>
        <w:rPr>
          <w:rFonts w:hint="eastAsia" w:ascii="仿宋" w:hAnsi="仿宋" w:eastAsia="仿宋" w:cs="仿宋"/>
          <w:color w:val="000000"/>
          <w:sz w:val="24"/>
        </w:rPr>
        <w:t>。</w:t>
      </w:r>
      <w:r>
        <w:rPr>
          <w:rFonts w:hint="eastAsia" w:ascii="仿宋" w:hAnsi="仿宋" w:eastAsia="仿宋" w:cs="仿宋"/>
          <w:b w:val="0"/>
          <w:bCs w:val="0"/>
          <w:sz w:val="24"/>
          <w:szCs w:val="24"/>
          <w:lang w:val="en-US" w:eastAsia="zh-CN"/>
        </w:rPr>
        <w:t>不符</w:t>
      </w:r>
      <w:r>
        <w:rPr>
          <w:rFonts w:hint="eastAsia" w:ascii="仿宋" w:hAnsi="仿宋" w:eastAsia="仿宋" w:cs="仿宋"/>
          <w:color w:val="000000"/>
          <w:sz w:val="24"/>
          <w:lang w:val="en-US" w:eastAsia="zh-CN"/>
        </w:rPr>
        <w:t>合采购需求、质量和服务的按无效处理。本次采购报价低者为服务单位。</w:t>
      </w:r>
    </w:p>
    <w:p>
      <w:pPr>
        <w:numPr>
          <w:ilvl w:val="0"/>
          <w:numId w:val="0"/>
        </w:numPr>
        <w:ind w:leftChars="200"/>
        <w:rPr>
          <w:rFonts w:hint="eastAsia" w:ascii="仿宋" w:hAnsi="仿宋" w:eastAsia="仿宋" w:cs="仿宋"/>
          <w:color w:val="000000"/>
          <w:sz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根据河北省农业农村厅区域公用品牌建设工作推进方案要求，对邢台市巨鹿金银花区域公用品牌进行建设提升，以完成品牌形象塑造，进一步增强品牌知名度，扩大品牌影响力。</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一、巨鹿金银花产业现状</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邢台市巨鹿金银花种植面积达到13.7万亩，占全国金银花总产量的60%以上，已成为我国最大的金银花种植区和集散地。2019年11月，巨鹿金银花入选中国农业品牌目录2019农产品区域公用品牌。2020年2月26日，河北省巨鹿县巨鹿金银花中国特色农产品优势区被认定为第三批中国特色农产品优势区。</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虽然具备产区优势和影响力，但由于巨鹿金银花一直以来缺少统一的品牌标示和传播口号，从而使品牌在传播推广无法形成统一的形象，无法建立清晰的品牌认知，很大程度上制约了巨鹿金银花区域公用品牌的发展。</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本次活动将通过创意设计统一的品牌标识，统一的对外宣传口号完成品牌形象塑造，并通过举办一次品牌发布会，对巨鹿金银花区域公用品牌做进一步提升。</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二、项目预算及要求</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活动预算共计20万元，其中包括：品牌调研及定位策划费用6万元、品牌形象创意设计费用6万元、品牌发布会费用8万元，各项费用的具体工作要求如下：</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（一）品牌调研及定位策划</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1、产品信息调研，具体包括：</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1.1巨鹿金银花的产品功能、品质特点；</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1.2巨鹿金银花的粗加工产品及深加工产品功能及特点；</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1.3巨鹿金银花的产品结构；</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1.4品质证明，包括专家、名人、资质荣誉、民俗文化等。</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2、产区信息调研，具体包括</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2.1与金银花种植有关的当地独特的地理资源、气候条件等。</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2.2当地独特的历史文化、传承、故事、传说等。</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3、产业信息调研，具体内容包括：</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3.1巨鹿金银花的产业规模，在全国的占位等。</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3.2巨鹿金银花的产业结构和布局。</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3.3巨鹿金银花的产业优势及问题。</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4、品牌定位策划，具体内容包括：</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4.1提炼巨鹿金银花的品牌核心价值</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4.2提炼巨鹿金银花的品牌卖点</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4.3提炼巨鹿金银花的品牌传播口号（slogan）</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4.4品牌视觉识别元素符号的提炼</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4.5创意撰写巨鹿金银花的品牌故事</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4.6创意撰写巨鹿金银花的品牌推广文案。</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（二）品牌形象创意设计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巨鹿金银花的品牌logo设计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巨鹿金银花品牌slogan的字体设计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巨鹿金银花品牌视觉识别元素的设计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巨鹿金银花的吉祥物及卡通形象设计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巨鹿金银花品牌主广告传播画面的设计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巨鹿金银花品牌宣传海报的设计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巨鹿金银花品牌主色调规范及标准字体</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8、巨鹿金银花新媒体视觉形象设计：双微、头条等。</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9、巨鹿金银花区域公用品牌与企业品牌、产品品牌的识别关系和具体应用规范，包括产品包装及传播画面。</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10、巨鹿金银花品牌视觉规范，包括字体、标准色及应用等。</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11、巨鹿金银花种植区的形象标示设计。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12、巨鹿金银花主要产品的通用包装设计。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（三）巨鹿金银花区域公用品牌发布会：</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会议地点：石家庄</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会场面积：可容纳100人以上的会议厅</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会场布置：话筒及音响设备、LED大屏、发言台、领导席、条桌及座椅、签到台、主位桌牌。</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会务人员：主持、摄影、摄像及服务人员。</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会议物料：邀请函、签到簿、会议纪念品、会前H5宣传、微信图片宣传等。</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会议文案：会议整体策划方案、媒体新闻通稿、会前及会后的宣传稿及平面物料设计。</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参会嘉宾：河北省农业农村厅主管领导、邢台农业农村局主管领导、巨鹿县农业农村局的主管领导。巨鹿金银花农户代表、合作社代表、销售商代表、企业代表等（具体名单由采购人与中标公司共同议定）</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邀请媒体：河北日报、人民网、长城网、邢台日报社、牛城晚报、省内知名的自媒体大V等出席发布会。</w:t>
      </w:r>
    </w:p>
    <w:p>
      <w:pPr>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9、知名行业专家对品牌进行推介和宣讲。</w:t>
      </w:r>
    </w:p>
    <w:p>
      <w:pPr>
        <w:rPr>
          <w:rFonts w:hint="eastAsia" w:ascii="仿宋" w:hAnsi="仿宋" w:eastAsia="仿宋" w:cs="仿宋"/>
          <w:b w:val="0"/>
          <w:bCs w:val="0"/>
          <w:sz w:val="24"/>
          <w:szCs w:val="24"/>
          <w:lang w:val="en-US" w:eastAsia="zh-CN"/>
        </w:rPr>
      </w:pPr>
      <w:bookmarkStart w:id="0" w:name="_GoBack"/>
      <w:bookmarkEnd w:id="0"/>
    </w:p>
    <w:p>
      <w:pPr>
        <w:ind w:firstLine="480" w:firstLineChars="200"/>
        <w:rPr>
          <w:rFonts w:hint="eastAsia" w:ascii="仿宋" w:hAnsi="仿宋" w:eastAsia="仿宋" w:cs="仿宋"/>
          <w:sz w:val="24"/>
          <w:lang w:val="en-US" w:eastAsia="zh-CN"/>
        </w:rPr>
      </w:pPr>
      <w:r>
        <w:rPr>
          <w:rFonts w:hint="eastAsia" w:ascii="仿宋" w:hAnsi="仿宋" w:eastAsia="仿宋" w:cs="仿宋"/>
          <w:b w:val="0"/>
          <w:bCs w:val="0"/>
          <w:sz w:val="24"/>
          <w:szCs w:val="24"/>
          <w:lang w:val="en-US" w:eastAsia="zh-CN"/>
        </w:rPr>
        <w:t>以上所有材料在资格审查时，有一项不合格，本次报价无效。</w:t>
      </w:r>
    </w:p>
    <w:p/>
    <w:p/>
    <w:p/>
    <w:sectPr>
      <w:pgSz w:w="11906" w:h="16838"/>
      <w:pgMar w:top="930" w:right="1066" w:bottom="986" w:left="95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iti SC Medium">
    <w:altName w:val="宋体"/>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B217"/>
    <w:multiLevelType w:val="singleLevel"/>
    <w:tmpl w:val="5549B2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E07ED"/>
    <w:rsid w:val="3A9E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link w:val="10"/>
    <w:qFormat/>
    <w:uiPriority w:val="0"/>
    <w:pPr>
      <w:keepNext/>
      <w:keepLines/>
      <w:widowControl w:val="0"/>
      <w:spacing w:before="260" w:after="260" w:line="413" w:lineRule="auto"/>
      <w:jc w:val="both"/>
      <w:outlineLvl w:val="2"/>
    </w:pPr>
    <w:rPr>
      <w:rFonts w:ascii="Times New Roman" w:hAnsi="Times New Roman" w:eastAsia="宋体" w:cs="Times New Roman"/>
      <w:b/>
      <w:sz w:val="28"/>
      <w:lang w:val="zh-CN"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866"/>
    </w:pPr>
    <w:rPr>
      <w:rFonts w:ascii="宋体" w:hAnsi="宋体" w:eastAsia="宋体" w:cs="宋体"/>
      <w:szCs w:val="21"/>
      <w:lang w:val="ja-JP" w:eastAsia="ja-JP" w:bidi="ja-JP"/>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nt11"/>
    <w:basedOn w:val="4"/>
    <w:qFormat/>
    <w:uiPriority w:val="0"/>
    <w:rPr>
      <w:rFonts w:hint="default" w:ascii="Times New Roman" w:hAnsi="Times New Roman" w:cs="Times New Roman"/>
      <w:color w:val="000000"/>
      <w:sz w:val="24"/>
      <w:szCs w:val="24"/>
      <w:u w:val="none"/>
    </w:rPr>
  </w:style>
  <w:style w:type="character" w:customStyle="1" w:styleId="8">
    <w:name w:val="font01"/>
    <w:basedOn w:val="4"/>
    <w:qFormat/>
    <w:uiPriority w:val="0"/>
    <w:rPr>
      <w:rFonts w:hint="eastAsia" w:ascii="宋体" w:hAnsi="宋体" w:eastAsia="宋体" w:cs="宋体"/>
      <w:color w:val="000000"/>
      <w:sz w:val="24"/>
      <w:szCs w:val="24"/>
      <w:u w:val="none"/>
    </w:rPr>
  </w:style>
  <w:style w:type="paragraph" w:customStyle="1" w:styleId="9">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character" w:customStyle="1" w:styleId="10">
    <w:name w:val="标题 3 字符"/>
    <w:link w:val="2"/>
    <w:qFormat/>
    <w:uiPriority w:val="0"/>
    <w:rPr>
      <w:rFonts w:ascii="Times New Roman" w:hAnsi="Times New Roman" w:eastAsia="宋体" w:cs="Times New Roman"/>
      <w:b/>
      <w:sz w:val="28"/>
      <w:lang w:val="zh-CN"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2020-09-21T02:31:00Z</dcterms:created>
  <dc:creator>Administrator</dc:creator>
  <cp:lastModifiedBy>Administrator</cp:lastModifiedBy>
  <dcterms:modified xsi:type="dcterms:W3CDTF">2020-09-21T02:36:59Z</dcterms:modified>
  <dc:title>邢台市农业农村局采购报价单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