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lang w:val="en-US" w:eastAsia="zh-CN"/>
        </w:rPr>
        <w:t>邢农提案字〔202</w:t>
      </w:r>
      <w:r>
        <w:rPr>
          <w:rFonts w:hint="default" w:ascii="仿宋_GB2312" w:hAnsi="仿宋_GB2312" w:eastAsia="仿宋_GB2312" w:cs="仿宋_GB2312"/>
          <w:spacing w:val="0"/>
          <w:w w:val="100"/>
          <w:position w:val="0"/>
          <w:sz w:val="32"/>
          <w:szCs w:val="32"/>
          <w:highlight w:val="none"/>
          <w:lang w:val="en" w:eastAsia="zh-CN"/>
        </w:rPr>
        <w:t>6</w:t>
      </w:r>
      <w:r>
        <w:rPr>
          <w:rFonts w:hint="eastAsia" w:ascii="仿宋_GB2312" w:hAnsi="仿宋_GB2312" w:eastAsia="仿宋_GB2312" w:cs="仿宋_GB2312"/>
          <w:spacing w:val="0"/>
          <w:w w:val="100"/>
          <w:position w:val="0"/>
          <w:sz w:val="32"/>
          <w:szCs w:val="32"/>
          <w:highlight w:val="none"/>
          <w:lang w:val="en-US" w:eastAsia="zh-CN"/>
        </w:rPr>
        <w:t>〕13号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eastAsia="zh-CN"/>
        </w:rPr>
      </w:pPr>
      <w:r>
        <w:rPr>
          <w:rFonts w:hint="eastAsia" w:ascii="方正小标宋简体" w:hAnsi="方正小标宋简体" w:eastAsia="方正小标宋简体" w:cs="方正小标宋简体"/>
          <w:b w:val="0"/>
          <w:bCs w:val="0"/>
          <w:spacing w:val="0"/>
          <w:w w:val="100"/>
          <w:position w:val="0"/>
          <w:sz w:val="44"/>
          <w:szCs w:val="44"/>
          <w:lang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_GBK" w:hAnsi="方正小标宋_GBK" w:eastAsia="方正小标宋_GBK" w:cs="方正小标宋_GBK"/>
          <w:b w:val="0"/>
          <w:bCs w:val="0"/>
          <w:spacing w:val="0"/>
          <w:w w:val="100"/>
          <w:position w:val="0"/>
          <w:sz w:val="44"/>
          <w:szCs w:val="44"/>
          <w:lang w:eastAsia="zh-CN"/>
        </w:rPr>
        <w:t>六</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default" w:ascii="方正小标宋简体" w:hAnsi="方正小标宋简体" w:eastAsia="方正小标宋简体" w:cs="方正小标宋简体"/>
          <w:b w:val="0"/>
          <w:bCs w:val="0"/>
          <w:spacing w:val="0"/>
          <w:w w:val="100"/>
          <w:position w:val="0"/>
          <w:sz w:val="44"/>
          <w:szCs w:val="44"/>
          <w:lang w:val="en" w:eastAsia="zh-CN"/>
        </w:rPr>
        <w:t>497</w:t>
      </w:r>
      <w:r>
        <w:rPr>
          <w:rFonts w:hint="eastAsia" w:ascii="方正小标宋简体" w:hAnsi="方正小标宋简体" w:eastAsia="方正小标宋简体" w:cs="方正小标宋简体"/>
          <w:b w:val="0"/>
          <w:bCs w:val="0"/>
          <w:spacing w:val="0"/>
          <w:w w:val="100"/>
          <w:position w:val="0"/>
          <w:sz w:val="44"/>
          <w:szCs w:val="44"/>
        </w:rPr>
        <w:t>号提案的答复</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民革邢台市委</w:t>
      </w:r>
      <w:r>
        <w:rPr>
          <w:rFonts w:hint="eastAsia" w:ascii="仿宋_GB2312" w:hAnsi="仿宋_GB2312" w:eastAsia="仿宋_GB2312" w:cs="仿宋_GB2312"/>
          <w:spacing w:val="0"/>
          <w:w w:val="100"/>
          <w:position w:val="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left"/>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您提出的</w:t>
      </w:r>
      <w:r>
        <w:rPr>
          <w:rFonts w:hint="eastAsia" w:ascii="仿宋_GB2312" w:hAnsi="仿宋_GB2312" w:eastAsia="仿宋_GB2312" w:cs="仿宋_GB2312"/>
          <w:spacing w:val="0"/>
          <w:w w:val="100"/>
          <w:position w:val="0"/>
          <w:sz w:val="32"/>
          <w:szCs w:val="32"/>
          <w:lang w:val="en-US" w:eastAsia="zh-CN"/>
        </w:rPr>
        <w:t>关于</w:t>
      </w:r>
      <w:r>
        <w:rPr>
          <w:rFonts w:hint="eastAsia" w:ascii="仿宋_GB2312" w:hAnsi="仿宋_GB2312" w:eastAsia="仿宋_GB2312" w:cs="仿宋_GB2312"/>
          <w:spacing w:val="0"/>
          <w:w w:val="100"/>
          <w:position w:val="0"/>
          <w:sz w:val="32"/>
          <w:szCs w:val="32"/>
        </w:rPr>
        <w:t>“</w:t>
      </w:r>
      <w:r>
        <w:rPr>
          <w:rFonts w:hint="eastAsia" w:ascii="宋体" w:hAnsi="宋体" w:eastAsia="宋体" w:cs="宋体"/>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一带五园</w:t>
      </w:r>
      <w:r>
        <w:rPr>
          <w:rFonts w:hint="eastAsia" w:ascii="宋体" w:hAnsi="宋体" w:eastAsia="宋体" w:cs="宋体"/>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战略下邢台食品加工产业发展</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val="en-US" w:eastAsia="zh-CN"/>
        </w:rPr>
        <w:t>的提案</w:t>
      </w:r>
      <w:r>
        <w:rPr>
          <w:rFonts w:hint="eastAsia" w:ascii="仿宋_GB2312" w:hAnsi="仿宋_GB2312" w:eastAsia="仿宋_GB2312" w:cs="仿宋_GB2312"/>
          <w:spacing w:val="0"/>
          <w:w w:val="100"/>
          <w:position w:val="0"/>
          <w:sz w:val="32"/>
          <w:szCs w:val="32"/>
        </w:rPr>
        <w:t>收悉，现答复如下：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lang w:val="en" w:eastAsia="zh-CN" w:bidi="ar-SA"/>
        </w:rPr>
      </w:pPr>
      <w:r>
        <w:rPr>
          <w:rFonts w:hint="eastAsia" w:ascii="黑体" w:hAnsi="黑体" w:eastAsia="黑体" w:cs="黑体"/>
          <w:kern w:val="0"/>
          <w:sz w:val="32"/>
          <w:szCs w:val="32"/>
          <w:lang w:val="en" w:eastAsia="zh-CN" w:bidi="ar-SA"/>
        </w:rPr>
        <w:t>一、强化龙头企业带动，构建“链主</w:t>
      </w:r>
      <w:r>
        <w:rPr>
          <w:rFonts w:hint="eastAsia" w:ascii="黑体" w:hAnsi="黑体" w:eastAsia="黑体" w:cs="黑体"/>
          <w:kern w:val="0"/>
          <w:sz w:val="32"/>
          <w:szCs w:val="32"/>
          <w:lang w:val="en-US" w:eastAsia="zh-CN" w:bidi="ar-SA"/>
        </w:rPr>
        <w:t>+配套</w:t>
      </w:r>
      <w:r>
        <w:rPr>
          <w:rFonts w:hint="eastAsia" w:ascii="黑体" w:hAnsi="黑体" w:eastAsia="黑体" w:cs="黑体"/>
          <w:kern w:val="0"/>
          <w:sz w:val="32"/>
          <w:szCs w:val="32"/>
          <w:lang w:val="en" w:eastAsia="zh-CN" w:bidi="ar-SA"/>
        </w:rPr>
        <w:t>”产业生态</w:t>
      </w:r>
    </w:p>
    <w:p>
      <w:pPr>
        <w:pStyle w:val="5"/>
        <w:keepNext w:val="0"/>
        <w:keepLines w:val="0"/>
        <w:pageBreakBefore w:val="0"/>
        <w:wordWrap/>
        <w:overflowPunct/>
        <w:topLinePunct w:val="0"/>
        <w:bidi w:val="0"/>
        <w:spacing w:before="0" w:line="560" w:lineRule="exact"/>
        <w:ind w:firstLine="643" w:firstLineChars="200"/>
        <w:rPr>
          <w:rFonts w:hint="eastAsia" w:ascii="仿宋_GB2312" w:hAnsi="仿宋_GB2312" w:eastAsia="仿宋_GB2312" w:cs="仿宋_GB2312"/>
          <w:kern w:val="2"/>
          <w:sz w:val="32"/>
          <w:szCs w:val="32"/>
          <w:lang w:val="en-US" w:eastAsia="zh-CN" w:bidi="ar-SA"/>
        </w:rPr>
        <w:sectPr>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十五五”期间，重点支持今麦郎、金沙河、玉锋等龙头企业转型升级，布局现代加工和未来产业。加快推进金沙河谷物食品加工、金锋淀粉糖醇、玉星生物辅酶Q10、今麦郎拉面范0油炸科技制面等重点项目建设。</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 w:eastAsia="zh-CN" w:bidi="ar-SA"/>
        </w:rPr>
        <w:t>鼓励“公司</w:t>
      </w:r>
      <w:r>
        <w:rPr>
          <w:rFonts w:hint="eastAsia" w:ascii="仿宋_GB2312" w:hAnsi="仿宋_GB2312" w:eastAsia="仿宋_GB2312" w:cs="仿宋_GB2312"/>
          <w:kern w:val="2"/>
          <w:sz w:val="32"/>
          <w:szCs w:val="32"/>
          <w:lang w:val="en-US" w:eastAsia="zh-CN" w:bidi="ar-SA"/>
        </w:rPr>
        <w:t>+合作社+基地+农户</w:t>
      </w:r>
      <w:r>
        <w:rPr>
          <w:rFonts w:hint="eastAsia" w:ascii="仿宋_GB2312" w:hAnsi="仿宋_GB2312" w:eastAsia="仿宋_GB2312" w:cs="仿宋_GB2312"/>
          <w:kern w:val="2"/>
          <w:sz w:val="32"/>
          <w:szCs w:val="32"/>
          <w:lang w:val="en" w:eastAsia="zh-CN" w:bidi="ar-SA"/>
        </w:rPr>
        <w:t>”的经营模式带动农户增收。积极组织龙</w:t>
      </w:r>
      <w:r>
        <w:rPr>
          <w:rFonts w:hint="eastAsia" w:ascii="仿宋_GB2312" w:hAnsi="仿宋_GB2312" w:eastAsia="仿宋_GB2312" w:cs="仿宋_GB2312"/>
          <w:kern w:val="2"/>
          <w:sz w:val="32"/>
          <w:szCs w:val="32"/>
          <w:lang w:val="en-US" w:eastAsia="zh-CN" w:bidi="ar-SA"/>
        </w:rPr>
        <w:t>头企业、农民合作社、家庭农场等新型农业经营主体以规模经营为依托，以利益联结为纽带的一体化农业经营组织联盟申报省级农业产业化联合体等荣誉。</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围绕小麦加工、玉米加工、宠物食品加工、果</w:t>
      </w:r>
    </w:p>
    <w:p>
      <w:pPr>
        <w:pStyle w:val="5"/>
        <w:keepNext w:val="0"/>
        <w:keepLines w:val="0"/>
        <w:pageBreakBefore w:val="0"/>
        <w:wordWrap/>
        <w:overflowPunct/>
        <w:topLinePunct w:val="0"/>
        <w:bidi w:val="0"/>
        <w:spacing w:before="0" w:line="560" w:lineRule="exact"/>
        <w:rPr>
          <w:rFonts w:hint="eastAsia" w:ascii="仿宋_GB2312" w:hAnsi="仿宋_GB2312" w:eastAsia="仿宋_GB2312" w:cs="仿宋_GB2312"/>
          <w:kern w:val="2"/>
          <w:sz w:val="32"/>
          <w:szCs w:val="32"/>
          <w:lang w:val="en" w:eastAsia="zh-CN" w:bidi="ar-SA"/>
        </w:rPr>
      </w:pPr>
      <w:r>
        <w:rPr>
          <w:rFonts w:hint="eastAsia" w:ascii="仿宋_GB2312" w:hAnsi="仿宋_GB2312" w:eastAsia="仿宋_GB2312" w:cs="仿宋_GB2312"/>
          <w:kern w:val="2"/>
          <w:sz w:val="32"/>
          <w:szCs w:val="32"/>
          <w:lang w:val="en-US" w:eastAsia="zh-CN" w:bidi="ar-SA"/>
        </w:rPr>
        <w:t>蔬加工、肉类深加工、乳制品加工6大优势食品加工产业链，以及生物科技、健康食品、未来食品等方向，重点瞄准中国500强食品企业、行业龙头、细分领域隐形冠军，精准外引战略性新兴企业</w:t>
      </w:r>
      <w:r>
        <w:rPr>
          <w:rFonts w:hint="eastAsia" w:ascii="仿宋_GB2312" w:hAnsi="仿宋_GB2312" w:eastAsia="仿宋_GB2312" w:cs="仿宋_GB2312"/>
          <w:kern w:val="2"/>
          <w:sz w:val="32"/>
          <w:szCs w:val="32"/>
          <w:lang w:val="en" w:eastAsia="zh-CN" w:bidi="ar-SA"/>
        </w:rPr>
        <w:t>。</w:t>
      </w:r>
      <w:r>
        <w:rPr>
          <w:rFonts w:hint="eastAsia" w:ascii="仿宋_GB2312" w:hAnsi="仿宋_GB2312" w:eastAsia="仿宋_GB2312" w:cs="仿宋_GB2312"/>
          <w:b/>
          <w:bCs/>
          <w:kern w:val="2"/>
          <w:sz w:val="32"/>
          <w:szCs w:val="32"/>
          <w:lang w:val="en" w:eastAsia="zh-CN" w:bidi="ar-SA"/>
        </w:rPr>
        <w:t>四是</w:t>
      </w:r>
      <w:r>
        <w:rPr>
          <w:rFonts w:hint="eastAsia" w:ascii="仿宋_GB2312" w:hAnsi="仿宋_GB2312" w:eastAsia="仿宋_GB2312" w:cs="仿宋_GB2312"/>
          <w:kern w:val="2"/>
          <w:sz w:val="32"/>
          <w:szCs w:val="32"/>
          <w:lang w:val="en-US" w:eastAsia="zh-CN" w:bidi="ar-SA"/>
        </w:rPr>
        <w:t>发挥市级产业引导母基金</w:t>
      </w:r>
      <w:r>
        <w:rPr>
          <w:rFonts w:hint="default" w:ascii="仿宋_GB2312" w:hAnsi="仿宋_GB2312" w:eastAsia="仿宋_GB2312" w:cs="仿宋_GB2312"/>
          <w:kern w:val="2"/>
          <w:sz w:val="32"/>
          <w:szCs w:val="32"/>
          <w:lang w:val="en" w:eastAsia="zh-CN" w:bidi="ar-SA"/>
        </w:rPr>
        <w:t>作用</w:t>
      </w:r>
      <w:r>
        <w:rPr>
          <w:rFonts w:hint="eastAsia" w:ascii="仿宋_GB2312" w:hAnsi="仿宋_GB2312" w:eastAsia="仿宋_GB2312" w:cs="仿宋_GB2312"/>
          <w:kern w:val="2"/>
          <w:sz w:val="32"/>
          <w:szCs w:val="32"/>
          <w:lang w:val="en-US" w:eastAsia="zh-CN" w:bidi="ar-SA"/>
        </w:rPr>
        <w:t>，建立食品加工产业隆起带子基金，支持企业利用基金扩能升级。</w:t>
      </w:r>
      <w:r>
        <w:rPr>
          <w:rFonts w:hint="eastAsia" w:ascii="仿宋_GB2312" w:hAnsi="仿宋_GB2312" w:eastAsia="仿宋_GB2312" w:cs="仿宋_GB2312"/>
          <w:kern w:val="2"/>
          <w:sz w:val="32"/>
          <w:szCs w:val="32"/>
          <w:lang w:val="en" w:eastAsia="zh-CN" w:bidi="ar-SA"/>
        </w:rPr>
        <w:t>推动银行开发支持食品加工产业隆起带建设的“隆起贷”金融产品。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kern w:val="0"/>
          <w:sz w:val="32"/>
          <w:szCs w:val="32"/>
          <w:lang w:val="en" w:eastAsia="zh-CN" w:bidi="ar-SA"/>
        </w:rPr>
      </w:pPr>
      <w:r>
        <w:rPr>
          <w:rFonts w:hint="eastAsia" w:ascii="黑体" w:hAnsi="黑体" w:eastAsia="黑体" w:cs="黑体"/>
          <w:kern w:val="0"/>
          <w:sz w:val="32"/>
          <w:szCs w:val="32"/>
          <w:lang w:val="en" w:eastAsia="zh-CN" w:bidi="ar-SA"/>
        </w:rPr>
        <w:t>二、突破技术瓶颈，构建“产学研用”创新体系</w:t>
      </w:r>
    </w:p>
    <w:p>
      <w:pPr>
        <w:keepNext w:val="0"/>
        <w:keepLines w:val="0"/>
        <w:pageBreakBefore w:val="0"/>
        <w:widowControl w:val="0"/>
        <w:tabs>
          <w:tab w:val="left" w:pos="918"/>
        </w:tabs>
        <w:kinsoku/>
        <w:wordWrap/>
        <w:overflowPunct/>
        <w:topLinePunct w:val="0"/>
        <w:autoSpaceDE/>
        <w:autoSpaceDN/>
        <w:bidi w:val="0"/>
        <w:adjustRightInd/>
        <w:snapToGrid/>
        <w:spacing w:line="560" w:lineRule="exact"/>
        <w:ind w:firstLine="643" w:firstLineChars="200"/>
        <w:jc w:val="both"/>
        <w:textAlignment w:val="auto"/>
        <w:rPr>
          <w:rFonts w:hint="eastAsia" w:ascii="方正黑体_GBK" w:hAnsi="方正黑体_GBK" w:eastAsia="仿宋_GB2312" w:cs="方正黑体_GBK"/>
          <w:sz w:val="32"/>
          <w:szCs w:val="32"/>
          <w:lang w:val="en-US" w:eastAsia="zh-CN"/>
        </w:rPr>
      </w:pP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rPr>
        <w:t>依托</w:t>
      </w:r>
      <w:r>
        <w:rPr>
          <w:rFonts w:hint="eastAsia" w:ascii="仿宋_GB2312" w:hAnsi="仿宋_GB2312" w:eastAsia="仿宋_GB2312" w:cs="仿宋_GB2312"/>
          <w:sz w:val="32"/>
          <w:szCs w:val="32"/>
          <w:lang w:val="en"/>
        </w:rPr>
        <w:t>北大荒研究院</w:t>
      </w:r>
      <w:r>
        <w:rPr>
          <w:rFonts w:hint="eastAsia" w:ascii="仿宋_GB2312" w:hAnsi="仿宋_GB2312" w:eastAsia="仿宋_GB2312" w:cs="仿宋_GB2312"/>
          <w:sz w:val="32"/>
          <w:szCs w:val="32"/>
          <w:lang w:val="en" w:eastAsia="zh-CN"/>
        </w:rPr>
        <w:t>等科研平台</w:t>
      </w:r>
      <w:r>
        <w:rPr>
          <w:rFonts w:hint="eastAsia" w:ascii="仿宋_GB2312" w:hAnsi="仿宋_GB2312" w:eastAsia="仿宋_GB2312" w:cs="仿宋_GB2312"/>
          <w:sz w:val="32"/>
          <w:szCs w:val="32"/>
          <w:lang w:val="en"/>
        </w:rPr>
        <w:t>打造</w:t>
      </w:r>
      <w:r>
        <w:rPr>
          <w:rFonts w:hint="eastAsia" w:ascii="仿宋_GB2312" w:hAnsi="仿宋_GB2312" w:eastAsia="仿宋_GB2312" w:cs="仿宋_GB2312"/>
          <w:sz w:val="32"/>
          <w:szCs w:val="32"/>
          <w:lang w:val="en" w:eastAsia="zh-CN"/>
        </w:rPr>
        <w:t>全市食品加工</w:t>
      </w:r>
      <w:r>
        <w:rPr>
          <w:rFonts w:hint="eastAsia" w:ascii="仿宋_GB2312" w:hAnsi="仿宋_GB2312" w:eastAsia="仿宋_GB2312" w:cs="仿宋_GB2312"/>
          <w:sz w:val="32"/>
          <w:szCs w:val="32"/>
          <w:lang w:val="en"/>
        </w:rPr>
        <w:t>共享研发中心</w:t>
      </w:r>
      <w:r>
        <w:rPr>
          <w:rFonts w:hint="eastAsia" w:ascii="仿宋_GB2312" w:hAnsi="仿宋_GB2312" w:eastAsia="仿宋_GB2312" w:cs="仿宋_GB2312"/>
          <w:sz w:val="32"/>
          <w:szCs w:val="32"/>
          <w:lang w:val="en" w:eastAsia="zh-CN"/>
        </w:rPr>
        <w:t>，围绕爆款爆品研发、生产工艺提升、产品质量提升、产业链条延展提升等方面加大研发力度，进一步提升产品附加值、提高企业效益。</w:t>
      </w:r>
      <w:r>
        <w:rPr>
          <w:rFonts w:hint="eastAsia" w:ascii="仿宋_GB2312" w:hAnsi="仿宋_GB2312" w:eastAsia="仿宋_GB2312" w:cs="仿宋_GB2312"/>
          <w:sz w:val="32"/>
          <w:szCs w:val="32"/>
          <w:lang w:val="en"/>
        </w:rPr>
        <w:t>鼓励</w:t>
      </w:r>
      <w:r>
        <w:rPr>
          <w:rFonts w:hint="eastAsia" w:ascii="仿宋_GB2312" w:hAnsi="仿宋_GB2312" w:eastAsia="仿宋_GB2312" w:cs="仿宋_GB2312"/>
          <w:sz w:val="32"/>
          <w:szCs w:val="32"/>
        </w:rPr>
        <w:t>重点食品</w:t>
      </w:r>
      <w:r>
        <w:rPr>
          <w:rFonts w:hint="eastAsia" w:ascii="仿宋_GB2312" w:hAnsi="仿宋_GB2312" w:eastAsia="仿宋_GB2312" w:cs="仿宋_GB2312"/>
          <w:sz w:val="32"/>
          <w:szCs w:val="32"/>
          <w:lang w:val="en"/>
        </w:rPr>
        <w:t>企业与</w:t>
      </w:r>
      <w:r>
        <w:rPr>
          <w:rFonts w:hint="eastAsia" w:ascii="仿宋_GB2312" w:hAnsi="仿宋_GB2312" w:eastAsia="仿宋_GB2312" w:cs="仿宋_GB2312"/>
          <w:sz w:val="32"/>
          <w:szCs w:val="32"/>
          <w:lang w:val="en" w:eastAsia="zh-CN"/>
        </w:rPr>
        <w:t>中国农大、中国农科院、</w:t>
      </w:r>
      <w:r>
        <w:rPr>
          <w:rFonts w:hint="eastAsia" w:ascii="仿宋_GB2312" w:hAnsi="仿宋_GB2312" w:eastAsia="仿宋_GB2312" w:cs="仿宋_GB2312"/>
          <w:sz w:val="32"/>
          <w:szCs w:val="32"/>
        </w:rPr>
        <w:t>江南大学</w:t>
      </w:r>
      <w:r>
        <w:rPr>
          <w:rFonts w:hint="eastAsia" w:ascii="仿宋_GB2312" w:hAnsi="仿宋_GB2312" w:eastAsia="仿宋_GB2312" w:cs="仿宋_GB2312"/>
          <w:sz w:val="32"/>
          <w:szCs w:val="32"/>
          <w:lang w:eastAsia="zh-CN"/>
        </w:rPr>
        <w:t>、河北农大</w:t>
      </w:r>
      <w:r>
        <w:rPr>
          <w:rFonts w:hint="eastAsia" w:ascii="仿宋_GB2312" w:hAnsi="仿宋_GB2312" w:eastAsia="仿宋_GB2312" w:cs="仿宋_GB2312"/>
          <w:sz w:val="32"/>
          <w:szCs w:val="32"/>
        </w:rPr>
        <w:t>等知名</w:t>
      </w:r>
      <w:r>
        <w:rPr>
          <w:rFonts w:hint="eastAsia" w:ascii="仿宋_GB2312" w:hAnsi="仿宋_GB2312" w:eastAsia="仿宋_GB2312" w:cs="仿宋_GB2312"/>
          <w:sz w:val="32"/>
          <w:szCs w:val="32"/>
          <w:lang w:val="en"/>
        </w:rPr>
        <w:t>高校、</w:t>
      </w:r>
      <w:r>
        <w:rPr>
          <w:rFonts w:hint="eastAsia" w:ascii="仿宋_GB2312" w:hAnsi="仿宋_GB2312" w:eastAsia="仿宋_GB2312" w:cs="仿宋_GB2312"/>
          <w:sz w:val="32"/>
          <w:szCs w:val="32"/>
        </w:rPr>
        <w:t>科研</w:t>
      </w:r>
      <w:r>
        <w:rPr>
          <w:rFonts w:hint="eastAsia" w:ascii="仿宋_GB2312" w:hAnsi="仿宋_GB2312" w:eastAsia="仿宋_GB2312" w:cs="仿宋_GB2312"/>
          <w:sz w:val="32"/>
          <w:szCs w:val="32"/>
          <w:lang w:val="en"/>
        </w:rPr>
        <w:t>院所组建创新</w:t>
      </w:r>
      <w:r>
        <w:rPr>
          <w:rFonts w:hint="eastAsia" w:ascii="仿宋_GB2312" w:hAnsi="仿宋_GB2312" w:eastAsia="仿宋_GB2312" w:cs="仿宋_GB2312"/>
          <w:sz w:val="32"/>
          <w:szCs w:val="32"/>
        </w:rPr>
        <w:t>联盟，</w:t>
      </w:r>
      <w:r>
        <w:rPr>
          <w:rFonts w:hint="eastAsia" w:ascii="仿宋_GB2312" w:hAnsi="仿宋_GB2312" w:eastAsia="仿宋_GB2312" w:cs="仿宋_GB2312"/>
          <w:sz w:val="32"/>
          <w:szCs w:val="32"/>
          <w:lang w:val="en"/>
        </w:rPr>
        <w:t>加强研发</w:t>
      </w:r>
      <w:r>
        <w:rPr>
          <w:rFonts w:hint="eastAsia" w:ascii="仿宋_GB2312" w:hAnsi="仿宋_GB2312" w:eastAsia="仿宋_GB2312" w:cs="仿宋_GB2312"/>
          <w:sz w:val="32"/>
          <w:szCs w:val="32"/>
          <w:lang w:val="en" w:eastAsia="zh-CN"/>
        </w:rPr>
        <w:t>机构和创新平台建设。</w:t>
      </w:r>
      <w:r>
        <w:rPr>
          <w:rFonts w:hint="eastAsia" w:ascii="仿宋_GB2312" w:hAnsi="仿宋_GB2312" w:eastAsia="仿宋_GB2312" w:cs="仿宋_GB2312"/>
          <w:b/>
          <w:bCs/>
          <w:sz w:val="32"/>
          <w:szCs w:val="32"/>
          <w:lang w:val="en" w:eastAsia="zh-CN"/>
        </w:rPr>
        <w:t>二是</w:t>
      </w:r>
      <w:r>
        <w:rPr>
          <w:rFonts w:hint="eastAsia" w:ascii="仿宋_GB2312" w:hAnsi="仿宋_GB2312" w:eastAsia="仿宋_GB2312" w:cs="仿宋_GB2312"/>
          <w:b w:val="0"/>
          <w:bCs w:val="0"/>
          <w:color w:val="auto"/>
          <w:sz w:val="32"/>
          <w:szCs w:val="32"/>
          <w:lang w:val="en" w:eastAsia="zh-CN"/>
        </w:rPr>
        <w:t>建立食品加工中小企业培育库，</w:t>
      </w:r>
      <w:r>
        <w:rPr>
          <w:rFonts w:hint="eastAsia" w:ascii="仿宋_GB2312" w:hAnsi="仿宋_GB2312" w:eastAsia="仿宋_GB2312" w:cs="仿宋_GB2312"/>
          <w:b w:val="0"/>
          <w:bCs w:val="0"/>
          <w:color w:val="auto"/>
          <w:sz w:val="32"/>
          <w:szCs w:val="32"/>
          <w:lang w:eastAsia="zh-CN"/>
        </w:rPr>
        <w:t>加快培育专精特新</w:t>
      </w:r>
      <w:bookmarkStart w:id="0" w:name="_GoBack"/>
      <w:bookmarkEnd w:id="0"/>
      <w:r>
        <w:rPr>
          <w:rFonts w:hint="eastAsia" w:ascii="仿宋_GB2312" w:hAnsi="仿宋_GB2312" w:eastAsia="仿宋_GB2312" w:cs="仿宋_GB2312"/>
          <w:b w:val="0"/>
          <w:bCs w:val="0"/>
          <w:color w:val="auto"/>
          <w:sz w:val="32"/>
          <w:szCs w:val="32"/>
          <w:lang w:eastAsia="zh-CN"/>
        </w:rPr>
        <w:t>中小企业，推荐符合条件的食品加工企业申报农业产业化重点龙头企业、创新型中小企业、专精特新中小企业、高新技术企业、领跑者企业、科技型中小企业等。</w:t>
      </w:r>
      <w:r>
        <w:rPr>
          <w:rFonts w:hint="eastAsia" w:ascii="仿宋_GB2312" w:hAnsi="仿宋_GB2312" w:eastAsia="仿宋_GB2312" w:cs="仿宋_GB2312"/>
          <w:b/>
          <w:bCs/>
          <w:color w:val="auto"/>
          <w:sz w:val="32"/>
          <w:szCs w:val="32"/>
          <w:lang w:eastAsia="zh-CN"/>
        </w:rPr>
        <w:t>三是</w:t>
      </w:r>
      <w:r>
        <w:rPr>
          <w:rFonts w:hint="default" w:ascii="仿宋_GB2312" w:hAnsi="仿宋_GB2312" w:eastAsia="仿宋_GB2312" w:cs="仿宋_GB2312"/>
          <w:color w:val="auto"/>
          <w:sz w:val="32"/>
          <w:szCs w:val="32"/>
          <w:lang w:val="en"/>
        </w:rPr>
        <w:t>推荐</w:t>
      </w:r>
      <w:r>
        <w:rPr>
          <w:rFonts w:hint="eastAsia" w:ascii="仿宋_GB2312" w:hAnsi="仿宋_GB2312" w:eastAsia="仿宋_GB2312" w:cs="仿宋_GB2312"/>
          <w:color w:val="auto"/>
          <w:sz w:val="32"/>
          <w:szCs w:val="32"/>
          <w:lang w:val="en" w:eastAsia="zh-CN"/>
        </w:rPr>
        <w:t>中小</w:t>
      </w:r>
      <w:r>
        <w:rPr>
          <w:rFonts w:hint="default" w:ascii="仿宋_GB2312" w:hAnsi="仿宋_GB2312" w:eastAsia="仿宋_GB2312" w:cs="仿宋_GB2312"/>
          <w:color w:val="auto"/>
          <w:sz w:val="32"/>
          <w:szCs w:val="32"/>
          <w:lang w:val="en"/>
        </w:rPr>
        <w:t>食品加工企业入选省农产品加工企业“255”培育库，在项目、资金等方面给予重点扶持。</w:t>
      </w:r>
      <w:r>
        <w:rPr>
          <w:rFonts w:hint="eastAsia" w:ascii="仿宋_GB2312" w:hAnsi="仿宋_GB2312" w:eastAsia="仿宋_GB2312" w:cs="仿宋_GB2312"/>
          <w:color w:val="auto"/>
          <w:sz w:val="32"/>
          <w:szCs w:val="32"/>
        </w:rPr>
        <w:t>发挥好食品加工产业共享车间作用，推动</w:t>
      </w:r>
      <w:r>
        <w:rPr>
          <w:rFonts w:hint="eastAsia" w:ascii="仿宋_GB2312" w:hAnsi="仿宋_GB2312" w:eastAsia="仿宋_GB2312" w:cs="仿宋_GB2312"/>
          <w:color w:val="auto"/>
          <w:sz w:val="32"/>
          <w:szCs w:val="32"/>
          <w:lang w:eastAsia="zh-CN"/>
        </w:rPr>
        <w:t>中小</w:t>
      </w:r>
      <w:r>
        <w:rPr>
          <w:rFonts w:hint="eastAsia" w:ascii="仿宋_GB2312" w:hAnsi="仿宋_GB2312" w:eastAsia="仿宋_GB2312" w:cs="仿宋_GB2312"/>
          <w:color w:val="auto"/>
          <w:sz w:val="32"/>
          <w:szCs w:val="32"/>
        </w:rPr>
        <w:t>企业在生产环境、管理水平、研发水平、产品质量等方面提档升级</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三、重塑品牌价值，构建“生产-消费”信任链条</w:t>
      </w:r>
    </w:p>
    <w:p>
      <w:pPr>
        <w:pStyle w:val="7"/>
        <w:keepNext w:val="0"/>
        <w:keepLines w:val="0"/>
        <w:pageBreakBefore w:val="0"/>
        <w:widowControl w:val="0"/>
        <w:kinsoku/>
        <w:wordWrap/>
        <w:overflowPunct/>
        <w:topLinePunct w:val="0"/>
        <w:autoSpaceDE/>
        <w:autoSpaceDN/>
        <w:bidi w:val="0"/>
        <w:adjustRightInd/>
        <w:spacing w:line="560" w:lineRule="exact"/>
        <w:ind w:left="0" w:leftChars="0" w:firstLine="643"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挖掘“老字号”，打造</w:t>
      </w:r>
      <w:r>
        <w:rPr>
          <w:rFonts w:hint="default" w:ascii="仿宋_GB2312" w:hAnsi="仿宋_GB2312" w:eastAsia="仿宋_GB2312" w:cs="仿宋_GB2312"/>
          <w:sz w:val="32"/>
          <w:szCs w:val="32"/>
          <w:lang w:val="en" w:eastAsia="zh-CN"/>
        </w:rPr>
        <w:t>爆款、爆品，</w:t>
      </w:r>
      <w:r>
        <w:rPr>
          <w:rFonts w:hint="eastAsia" w:ascii="仿宋_GB2312" w:hAnsi="仿宋_GB2312" w:eastAsia="仿宋_GB2312" w:cs="仿宋_GB2312"/>
          <w:sz w:val="32"/>
          <w:szCs w:val="32"/>
          <w:lang w:eastAsia="zh-CN"/>
        </w:rPr>
        <w:t>培育新品牌，</w:t>
      </w:r>
      <w:r>
        <w:rPr>
          <w:rFonts w:hint="eastAsia" w:ascii="仿宋_GB2312" w:hAnsi="仿宋_GB2312" w:eastAsia="仿宋_GB2312" w:cs="仿宋_GB2312"/>
          <w:sz w:val="32"/>
          <w:szCs w:val="32"/>
          <w:lang w:val="en" w:eastAsia="zh-CN"/>
        </w:rPr>
        <w:t>提升</w:t>
      </w:r>
      <w:r>
        <w:rPr>
          <w:rFonts w:hint="eastAsia" w:ascii="仿宋_GB2312" w:hAnsi="仿宋_GB2312" w:eastAsia="仿宋_GB2312" w:cs="仿宋_GB2312"/>
          <w:sz w:val="32"/>
          <w:szCs w:val="32"/>
          <w:lang w:eastAsia="zh-CN"/>
        </w:rPr>
        <w:t>“邢台上农”区域</w:t>
      </w:r>
      <w:r>
        <w:rPr>
          <w:rFonts w:hint="default" w:ascii="仿宋_GB2312" w:hAnsi="仿宋_GB2312" w:eastAsia="仿宋_GB2312" w:cs="仿宋_GB2312"/>
          <w:sz w:val="32"/>
          <w:szCs w:val="32"/>
          <w:lang w:val="en" w:eastAsia="zh-CN"/>
        </w:rPr>
        <w:t>公共</w:t>
      </w:r>
      <w:r>
        <w:rPr>
          <w:rFonts w:hint="eastAsia" w:ascii="仿宋_GB2312" w:hAnsi="仿宋_GB2312" w:eastAsia="仿宋_GB2312" w:cs="仿宋_GB2312"/>
          <w:sz w:val="32"/>
          <w:szCs w:val="32"/>
          <w:lang w:eastAsia="zh-CN"/>
        </w:rPr>
        <w:t>品牌。</w:t>
      </w:r>
      <w:r>
        <w:rPr>
          <w:rFonts w:hint="eastAsia" w:ascii="仿宋_GB2312" w:hAnsi="仿宋_GB2312" w:eastAsia="仿宋_GB2312" w:cs="仿宋_GB2312"/>
          <w:sz w:val="32"/>
          <w:szCs w:val="32"/>
        </w:rPr>
        <w:t>依托“一街一河五湖十六泉”水景</w:t>
      </w:r>
      <w:r>
        <w:rPr>
          <w:rFonts w:hint="eastAsia" w:ascii="仿宋_GB2312" w:hAnsi="仿宋_GB2312" w:eastAsia="仿宋_GB2312" w:cs="仿宋_GB2312"/>
          <w:sz w:val="32"/>
          <w:szCs w:val="32"/>
          <w:lang w:eastAsia="zh-CN"/>
        </w:rPr>
        <w:t>和“京南后海”等网红打卡地，</w:t>
      </w:r>
      <w:r>
        <w:rPr>
          <w:rFonts w:hint="eastAsia" w:ascii="仿宋_GB2312" w:hAnsi="仿宋_GB2312" w:eastAsia="仿宋_GB2312" w:cs="仿宋_GB2312"/>
          <w:sz w:val="32"/>
          <w:szCs w:val="32"/>
        </w:rPr>
        <w:t>让消费者在太行泉城观赏好风光、购买土特产、品尝老味道、享受原生态。</w:t>
      </w:r>
      <w:r>
        <w:rPr>
          <w:rFonts w:hint="eastAsia" w:ascii="仿宋_GB2312" w:hAnsi="仿宋_GB2312" w:eastAsia="仿宋_GB2312" w:cs="仿宋_GB2312"/>
          <w:b/>
          <w:bCs/>
          <w:spacing w:val="0"/>
          <w:w w:val="100"/>
          <w:position w:val="0"/>
          <w:sz w:val="32"/>
          <w:szCs w:val="32"/>
          <w:lang w:eastAsia="zh-CN"/>
        </w:rPr>
        <w:t>二是</w:t>
      </w:r>
      <w:r>
        <w:rPr>
          <w:rFonts w:hint="eastAsia" w:ascii="仿宋_GB2312" w:hAnsi="仿宋_GB2312" w:eastAsia="仿宋_GB2312" w:cs="仿宋_GB2312"/>
          <w:spacing w:val="0"/>
          <w:w w:val="100"/>
          <w:position w:val="0"/>
          <w:sz w:val="32"/>
          <w:szCs w:val="32"/>
        </w:rPr>
        <w:t>支持绿色食品企业与电商平台、直播机构等新兴渠道对接，鼓励开展“云监工”、线上品鉴、网红直播等信任消费活动。同时，依托京东、美团等平台资源，推动数字化展示、智能推荐、线上溯源等技术在绿色食品销售中的应用，提升消费者信任度和购买意愿。</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spacing w:val="0"/>
          <w:w w:val="100"/>
          <w:position w:val="0"/>
          <w:sz w:val="32"/>
          <w:szCs w:val="32"/>
        </w:rPr>
        <w:t>积极推动绿色食品进入大型商超、社区便利店、农产品批发市场等流通主渠道，鼓励商贸流通企业与绿色食品生产基地建立长期稳定合作关系。支持“农超对接”“基地直供”等模式，减少中间环节，降低流通成本，提升绿色食品市场竞争力。</w:t>
      </w:r>
      <w:r>
        <w:rPr>
          <w:rFonts w:hint="eastAsia" w:ascii="仿宋_GB2312" w:hAnsi="仿宋_GB2312" w:eastAsia="仿宋_GB2312" w:cs="仿宋_GB2312"/>
          <w:b/>
          <w:bCs/>
          <w:spacing w:val="0"/>
          <w:w w:val="100"/>
          <w:position w:val="0"/>
          <w:sz w:val="32"/>
          <w:szCs w:val="32"/>
          <w:lang w:eastAsia="zh-CN"/>
        </w:rPr>
        <w:t>四是</w:t>
      </w:r>
      <w:r>
        <w:rPr>
          <w:rFonts w:hint="eastAsia" w:ascii="仿宋_GB2312" w:hAnsi="仿宋_GB2312" w:eastAsia="仿宋_GB2312" w:cs="仿宋_GB2312"/>
          <w:spacing w:val="0"/>
          <w:w w:val="100"/>
          <w:position w:val="0"/>
          <w:sz w:val="32"/>
          <w:szCs w:val="32"/>
        </w:rPr>
        <w:t>推动绿色食品企业开展品牌策划、包装升级、市场推广等工作，支持企业注册地理标志、绿色商标，提升品牌辨识度和市场占有率。同时，鼓励企业运用大数据分析消费者偏好，精准定位市场，提升产品附加值。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r>
        <w:rPr>
          <w:rFonts w:hint="eastAsia" w:ascii="仿宋_GB2312" w:hAnsi="仿宋_GB2312" w:eastAsia="仿宋_GB2312" w:cs="仿宋_GB2312"/>
          <w:b w:val="0"/>
          <w:bCs/>
          <w:kern w:val="2"/>
          <w:sz w:val="32"/>
          <w:szCs w:val="32"/>
          <w:highlight w:val="none"/>
          <w:u w:val="none" w:color="auto"/>
          <w:lang w:val="en-US" w:eastAsia="zh-CN" w:bidi="ar-SA"/>
        </w:rPr>
        <w:t>感谢你们对我们农业农村工作的关心和支持！</w:t>
      </w:r>
    </w:p>
    <w:p>
      <w:pPr>
        <w:keepNext w:val="0"/>
        <w:keepLines w:val="0"/>
        <w:pageBreakBefore w:val="0"/>
        <w:widowControl w:val="0"/>
        <w:kinsoku/>
        <w:wordWrap/>
        <w:overflowPunct/>
        <w:topLinePunct w:val="0"/>
        <w:autoSpaceDN/>
        <w:bidi w:val="0"/>
        <w:adjustRightInd/>
        <w:snapToGrid/>
        <w:spacing w:line="560" w:lineRule="exact"/>
        <w:ind w:left="0" w:leftChars="0" w:firstLine="5440" w:firstLineChars="1700"/>
        <w:jc w:val="both"/>
        <w:textAlignment w:val="auto"/>
        <w:rPr>
          <w:rFonts w:ascii="仿宋_GB2312" w:eastAsia="仿宋_GB2312"/>
          <w:b w:val="0"/>
          <w:bCs w:val="0"/>
          <w:sz w:val="32"/>
          <w:szCs w:val="32"/>
          <w:highlight w:val="none"/>
        </w:rPr>
      </w:pPr>
      <w:r>
        <w:rPr>
          <w:rFonts w:hint="eastAsia" w:ascii="仿宋_GB2312" w:eastAsia="仿宋_GB2312"/>
          <w:b w:val="0"/>
          <w:bCs w:val="0"/>
          <w:sz w:val="32"/>
          <w:szCs w:val="32"/>
          <w:highlight w:val="none"/>
        </w:rPr>
        <w:t>邢台市农业农村局</w:t>
      </w:r>
    </w:p>
    <w:p>
      <w:pPr>
        <w:keepNext w:val="0"/>
        <w:keepLines w:val="0"/>
        <w:pageBreakBefore w:val="0"/>
        <w:widowControl w:val="0"/>
        <w:kinsoku/>
        <w:wordWrap/>
        <w:overflowPunct/>
        <w:topLinePunct w:val="0"/>
        <w:autoSpaceDN/>
        <w:bidi w:val="0"/>
        <w:adjustRightInd/>
        <w:snapToGrid/>
        <w:spacing w:line="560" w:lineRule="exact"/>
        <w:ind w:left="0" w:leftChars="0" w:firstLine="5440" w:firstLineChars="1700"/>
        <w:jc w:val="both"/>
        <w:textAlignment w:val="auto"/>
        <w:rPr>
          <w:rFonts w:hint="eastAsia" w:ascii="仿宋_GB2312" w:hAnsi="仿宋_GB2312" w:eastAsia="仿宋_GB2312" w:cs="仿宋_GB2312"/>
          <w:b w:val="0"/>
          <w:bCs w:val="0"/>
          <w:sz w:val="32"/>
          <w:szCs w:val="32"/>
          <w:highlight w:val="none"/>
        </w:rPr>
      </w:pPr>
      <w:r>
        <w:rPr>
          <w:rFonts w:ascii="仿宋_GB2312" w:eastAsia="仿宋_GB2312"/>
          <w:b w:val="0"/>
          <w:bCs w:val="0"/>
          <w:sz w:val="32"/>
          <w:szCs w:val="32"/>
          <w:highlight w:val="none"/>
        </w:rPr>
        <w:t>202</w:t>
      </w:r>
      <w:r>
        <w:rPr>
          <w:rFonts w:hint="eastAsia" w:ascii="仿宋_GB2312" w:eastAsia="仿宋_GB2312"/>
          <w:b w:val="0"/>
          <w:bCs w:val="0"/>
          <w:sz w:val="32"/>
          <w:szCs w:val="32"/>
          <w:highlight w:val="none"/>
          <w:lang w:val="en-US" w:eastAsia="zh-CN"/>
        </w:rPr>
        <w:t>6</w:t>
      </w:r>
      <w:r>
        <w:rPr>
          <w:rFonts w:hint="eastAsia" w:ascii="仿宋_GB2312" w:eastAsia="仿宋_GB2312"/>
          <w:b w:val="0"/>
          <w:bCs w:val="0"/>
          <w:sz w:val="32"/>
          <w:szCs w:val="32"/>
          <w:highlight w:val="none"/>
        </w:rPr>
        <w:t>年</w:t>
      </w:r>
      <w:r>
        <w:rPr>
          <w:rFonts w:hint="eastAsia" w:ascii="仿宋_GB2312" w:eastAsia="仿宋_GB2312"/>
          <w:b w:val="0"/>
          <w:bCs w:val="0"/>
          <w:sz w:val="32"/>
          <w:szCs w:val="32"/>
          <w:highlight w:val="none"/>
          <w:lang w:val="en-US" w:eastAsia="zh-CN"/>
        </w:rPr>
        <w:t>5</w:t>
      </w:r>
      <w:r>
        <w:rPr>
          <w:rFonts w:hint="eastAsia" w:ascii="仿宋_GB2312" w:eastAsia="仿宋_GB2312"/>
          <w:b w:val="0"/>
          <w:bCs w:val="0"/>
          <w:sz w:val="32"/>
          <w:szCs w:val="32"/>
          <w:highlight w:val="none"/>
        </w:rPr>
        <w:t>月</w:t>
      </w:r>
      <w:r>
        <w:rPr>
          <w:rFonts w:hint="eastAsia" w:ascii="仿宋_GB2312" w:eastAsia="仿宋_GB2312"/>
          <w:b w:val="0"/>
          <w:bCs w:val="0"/>
          <w:sz w:val="32"/>
          <w:szCs w:val="32"/>
          <w:highlight w:val="none"/>
          <w:lang w:val="en-US" w:eastAsia="zh-CN"/>
        </w:rPr>
        <w:t>15</w:t>
      </w:r>
      <w:r>
        <w:rPr>
          <w:rFonts w:hint="eastAsia" w:ascii="仿宋_GB2312" w:eastAsia="仿宋_GB2312"/>
          <w:b w:val="0"/>
          <w:bCs w:val="0"/>
          <w:sz w:val="32"/>
          <w:szCs w:val="32"/>
          <w:highlight w:val="none"/>
        </w:rPr>
        <w:t>日</w:t>
      </w:r>
    </w:p>
    <w:p>
      <w:pPr>
        <w:pStyle w:val="10"/>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left="0" w:leftChars="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领导签发：</w:t>
      </w:r>
    </w:p>
    <w:p>
      <w:pPr>
        <w:pStyle w:val="10"/>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left="0" w:leftChars="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rPr>
        <w:t>联系人及电话：</w:t>
      </w:r>
      <w:r>
        <w:rPr>
          <w:rFonts w:hint="eastAsia" w:ascii="仿宋_GB2312" w:hAnsi="仿宋_GB2312" w:eastAsia="仿宋_GB2312" w:cs="仿宋_GB2312"/>
          <w:b w:val="0"/>
          <w:bCs w:val="0"/>
          <w:sz w:val="32"/>
          <w:szCs w:val="32"/>
          <w:highlight w:val="none"/>
          <w:lang w:eastAsia="zh-CN"/>
        </w:rPr>
        <w:t>王百永</w:t>
      </w:r>
      <w:r>
        <w:rPr>
          <w:rFonts w:ascii="仿宋_GB2312" w:hAnsi="仿宋_GB2312" w:eastAsia="仿宋_GB2312" w:cs="仿宋_GB2312"/>
          <w:b w:val="0"/>
          <w:bCs w:val="0"/>
          <w:sz w:val="32"/>
          <w:szCs w:val="32"/>
          <w:highlight w:val="none"/>
        </w:rPr>
        <w:t xml:space="preserve">  </w:t>
      </w:r>
      <w:r>
        <w:rPr>
          <w:rFonts w:hint="eastAsia" w:ascii="仿宋_GB2312" w:hAnsi="仿宋_GB2312" w:eastAsia="仿宋_GB2312" w:cs="仿宋_GB2312"/>
          <w:b w:val="0"/>
          <w:bCs w:val="0"/>
          <w:sz w:val="32"/>
          <w:szCs w:val="32"/>
          <w:highlight w:val="none"/>
          <w:lang w:val="en-US" w:eastAsia="zh-CN"/>
        </w:rPr>
        <w:t>3288798</w:t>
      </w:r>
    </w:p>
    <w:p>
      <w:pPr>
        <w:pStyle w:val="10"/>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left="0" w:leftChars="0"/>
        <w:jc w:val="both"/>
        <w:textAlignment w:val="auto"/>
      </w:pPr>
      <w:r>
        <w:rPr>
          <w:rFonts w:hint="eastAsia" w:ascii="仿宋_GB2312" w:hAnsi="仿宋_GB2312" w:eastAsia="仿宋_GB2312" w:cs="仿宋_GB2312"/>
          <w:spacing w:val="0"/>
          <w:w w:val="100"/>
          <w:position w:val="0"/>
          <w:sz w:val="32"/>
          <w:szCs w:val="32"/>
          <w:highlight w:val="none"/>
        </w:rPr>
        <w:t>抄送：市政府办公室，市政协提案委员会</w:t>
      </w:r>
      <w:r>
        <w:rPr>
          <w:rFonts w:hint="eastAsia" w:ascii="仿宋_GB2312" w:hAnsi="仿宋_GB2312" w:eastAsia="仿宋_GB2312" w:cs="仿宋_GB2312"/>
          <w:spacing w:val="0"/>
          <w:w w:val="100"/>
          <w:position w:val="0"/>
          <w:sz w:val="32"/>
          <w:szCs w:val="32"/>
          <w:highlight w:val="none"/>
          <w:lang w:val="en-US" w:eastAsia="zh-CN"/>
        </w:rPr>
        <w:t>,市市场监督管理局、市科学技术局、市商务局、市工业和信息化局。</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00"/>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0F7D0889"/>
    <w:rsid w:val="0FE7070D"/>
    <w:rsid w:val="15FFA444"/>
    <w:rsid w:val="1BFB90EF"/>
    <w:rsid w:val="1FB74B24"/>
    <w:rsid w:val="35F6445B"/>
    <w:rsid w:val="3AED6EF7"/>
    <w:rsid w:val="3D2D143A"/>
    <w:rsid w:val="3DF5DC68"/>
    <w:rsid w:val="3E9793E0"/>
    <w:rsid w:val="3EFC8894"/>
    <w:rsid w:val="4A740A5B"/>
    <w:rsid w:val="52EA73AE"/>
    <w:rsid w:val="5A6E4C9D"/>
    <w:rsid w:val="5ABF27EC"/>
    <w:rsid w:val="5DFFC647"/>
    <w:rsid w:val="5FF58900"/>
    <w:rsid w:val="65F62688"/>
    <w:rsid w:val="6BE7F621"/>
    <w:rsid w:val="6BF3D8B6"/>
    <w:rsid w:val="6F77DA6A"/>
    <w:rsid w:val="774BB46F"/>
    <w:rsid w:val="77D34505"/>
    <w:rsid w:val="77DE3EB9"/>
    <w:rsid w:val="79AEC76C"/>
    <w:rsid w:val="79DCC3FE"/>
    <w:rsid w:val="7DB61B16"/>
    <w:rsid w:val="7EE75362"/>
    <w:rsid w:val="7F2E3046"/>
    <w:rsid w:val="7FFD4721"/>
    <w:rsid w:val="A7E78B59"/>
    <w:rsid w:val="BB43684F"/>
    <w:rsid w:val="BFFEF136"/>
    <w:rsid w:val="CEEFE1FF"/>
    <w:rsid w:val="D7AFC4C4"/>
    <w:rsid w:val="D7F7BCF7"/>
    <w:rsid w:val="DFF7296E"/>
    <w:rsid w:val="E197BC41"/>
    <w:rsid w:val="E6A77025"/>
    <w:rsid w:val="EF57DC7C"/>
    <w:rsid w:val="F273D151"/>
    <w:rsid w:val="F37E5050"/>
    <w:rsid w:val="F47F7BAF"/>
    <w:rsid w:val="FB8D3D0C"/>
    <w:rsid w:val="FBA7DA02"/>
    <w:rsid w:val="FDAF0514"/>
    <w:rsid w:val="FE3F1119"/>
    <w:rsid w:val="FF6B612D"/>
    <w:rsid w:val="FFDF1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仿宋" w:hAnsi="仿宋" w:eastAsia="仿宋" w:cs="仿宋"/>
      <w:sz w:val="32"/>
      <w:szCs w:val="32"/>
      <w:lang w:val="zh-CN" w:eastAsia="zh-CN" w:bidi="zh-CN"/>
    </w:rPr>
  </w:style>
  <w:style w:type="paragraph" w:styleId="3">
    <w:name w:val="Normal Indent"/>
    <w:basedOn w:val="1"/>
    <w:next w:val="4"/>
    <w:qFormat/>
    <w:uiPriority w:val="99"/>
    <w:pPr>
      <w:spacing w:after="120"/>
      <w:ind w:left="420"/>
    </w:pPr>
  </w:style>
  <w:style w:type="paragraph" w:styleId="4">
    <w:name w:val="Plain Text"/>
    <w:basedOn w:val="1"/>
    <w:qFormat/>
    <w:uiPriority w:val="0"/>
    <w:rPr>
      <w:rFonts w:ascii="宋体" w:hAnsi="Courier New"/>
    </w:rPr>
  </w:style>
  <w:style w:type="paragraph" w:styleId="5">
    <w:name w:val="toa heading"/>
    <w:basedOn w:val="1"/>
    <w:next w:val="1"/>
    <w:qFormat/>
    <w:uiPriority w:val="0"/>
    <w:pPr>
      <w:spacing w:before="120"/>
    </w:pPr>
    <w:rPr>
      <w:rFonts w:ascii="Arial" w:hAnsi="Arial"/>
      <w:sz w:val="24"/>
    </w:rPr>
  </w:style>
  <w:style w:type="paragraph" w:styleId="6">
    <w:name w:val="Body Text Indent"/>
    <w:basedOn w:val="1"/>
    <w:next w:val="1"/>
    <w:qFormat/>
    <w:uiPriority w:val="0"/>
    <w:pPr>
      <w:snapToGrid w:val="0"/>
      <w:spacing w:line="480" w:lineRule="exact"/>
      <w:ind w:right="-45" w:firstLine="480"/>
    </w:pPr>
    <w:rPr>
      <w:rFonts w:ascii="楷体_GB2312" w:eastAsia="楷体_GB2312"/>
      <w:spacing w:val="12"/>
      <w:sz w:val="24"/>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2"/>
    <w:basedOn w:val="6"/>
    <w:next w:val="1"/>
    <w:qFormat/>
    <w:uiPriority w:val="0"/>
    <w:pPr>
      <w:ind w:left="420" w:leftChars="200" w:firstLine="420" w:firstLineChars="200"/>
    </w:pPr>
    <w:rPr>
      <w:rFonts w:asci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2023-05-27T16:42:00Z</dcterms:created>
  <dc:creator>风雨兼程</dc:creator>
  <cp:lastModifiedBy>ncj</cp:lastModifiedBy>
  <cp:lastPrinted>2026-05-20T22:38:00Z</cp:lastPrinted>
  <dcterms:modified xsi:type="dcterms:W3CDTF">2026-08-11T09:24:56Z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